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uv16aspxu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 — IFLR Intelligence Layer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s2tydsqb6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IFLR TAX LOGIC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does NOT think about Tax the same way Chambers or Legal 500 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evaluates Tax primarily through the lens of: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transactions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structuring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innovation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engineering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sophistication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impact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through pure prestige or pure litigation capability.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Tax in IFLR is fundamentally transaction-centric.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fd9h8cg73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IFLR TYPICALLY REWARDS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686k4s6ki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Transactional sophistication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signal in IFLR Tax is usually: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sophisticated the structure is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innovative the tax engineering was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essential the tax advice was to completing the transaction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technical tax correctness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do3v9y48n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Cross-border capability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heavily rewards: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multi-jurisdictional coordination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structuring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treaty navigation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financing structures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tax optimization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uihdo5jr4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Innovation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differences vs Chambers and Legal 500.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strongly values: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novel structures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first-of-its-kind transactions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 financing arrangements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unprecedented tax structures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regulatory navigation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smaller but innovative deal may outperform a larger but conventional one.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t700n8v8n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IFLR TAX IS NOT PRIMARILY ABOUT DISPUTES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contextual rule.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Chambers: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litigation is NOT usually the center of gravity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Legal 500: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execution is NOT the dominant lens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architecture dominates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0b9e9ap56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PRIORITIZE IN IFLR TAX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ky8o80gjx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Transaction-related signals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o5e5zgqi4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M&amp;A tax structuring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 engineering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merger structuring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spin-offs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tax-free reorganizations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carve-outs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zc9uun77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Financing tax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syndicated loans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finance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finance tax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securitization structures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financing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kex4d2bel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Capital markets tax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bond issuances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IPO structuring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offerings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instruments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offerings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3nw0s8qkd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Funds and investment structures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 structures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 funds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vehicles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offshore structures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treaty optimization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t2th5v5d5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International tax sophistication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BEPS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taxation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treaty interaction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withholding optimization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dg1oj68qg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IFLR CONTEXTUAL INSIGHT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IFLR: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Tax is often evaluated as an enabling function within major transactions.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RankPilot should ask: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tax central to the transaction?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structure enable the deal?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tax strategy unlock financing?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team solve cross-border friction?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there regulatory creativity?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merely: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“was the advice technically correct?”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oi2k7bhaq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IFLR DOES NOT REWARD “GENERIC TAX ADVISORY”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submission full of: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routine advisory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compliance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domestic matters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…may appear weak in IFLR.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if: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practice is commercially successful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IFLR prioritizes: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importance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etb87wh1n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IFLR FAILURE MODES FOR RANKPILOT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ty7xmggev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system should NOT: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overvalue litigation</w:t>
        <w:br w:type="textWrapping"/>
        <w:t xml:space="preserve"> ❌ overfocus on prestige signaling</w:t>
        <w:br w:type="textWrapping"/>
        <w:t xml:space="preserve"> ❌ reward volume alone</w:t>
        <w:br w:type="textWrapping"/>
        <w:t xml:space="preserve"> ❌ treat administrative disputes as core indicators</w:t>
        <w:br w:type="textWrapping"/>
        <w:t xml:space="preserve"> ❌ prioritize generic tax advisory work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rbju5d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SYSTEM SHOULD DETECT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ye7c9maz9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Transaction integration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submission demonstrate: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with corporate teams?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teams?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 teams?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 teams?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not:</w:t>
        <w:br w:type="textWrapping"/>
        <w:t xml:space="preserve"> → the practice may look isolated and less sophisticated.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icxu2iz1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Structural innovation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the structures: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novel?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difficult?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first-of-kind?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cross-border?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regulatorily complex?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not:</w:t>
        <w:br w:type="textWrapping"/>
        <w:t xml:space="preserve"> → matters may appear operational rather than elite transactional.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siq0vrt24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International sophistication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domestic tax work may underperform unless: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strategically critical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innovative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market-defining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svsnj8h0c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VS CHAMBERS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p6x96m9vo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asks: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“Who dominates the market?”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ktd9hr38n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asks: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sophisticated and innovative was the transaction?”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MASSIVE reasoning difference.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0dxtjn6oz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VS LEGAL 500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a0fwr0ar4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500 rewards: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capability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mgtcwse1k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IFLR rewards: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architecture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ayix6t2ww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RAG INSIGHT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Tax reasoning should sound more like: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tax structuring was essential to enabling the financing”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cross-border engineering demonstrates strong transactional sophistication”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submission reflects advanced integration with capital markets and financing teams”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“the matters show innovative approaches to acquisition structuring”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LESS like: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firm demonstrates strong client responsiveness”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practice is highly accessible”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team has strong litigation capability”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more Legal 500 / Chambers-style diagnostics.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9e6uljti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DEAL CHARACTERISTICS IFLR LIKELY VALUES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should prioritize matters involving: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multinational transactions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financing structures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projects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deals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finance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financing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finance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M&amp;A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 issuances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reorganizations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2fxoffdey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IFLR-SPECIFIC RISK ANALYSIS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b6roo0g0a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1 — “Too domestic”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matters: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cross-border sophistication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transactional integration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financing complexity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submission may appear weak.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722vv72zj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2 — “Too operational”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matters focus heavily on: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routine compliance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advisory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maintenance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submission may lack IFLR-level sophistication.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zdzo2x7vv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3 — “Too litigation-heavy”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disputes-dominated submission may signal: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positioning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mismatch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transactional relevance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j4krp77q2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IDEAL IFLR TAX NARRATIVE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narratives usually communicate: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transaction could not have happened without the tax strategy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structure solved major regulatory friction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engineered a commercially critical solution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advice enabled cross-border execution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tax work materially impacted transaction viability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lterbhx2x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RANKPILOT SHOULD UNDERSTAND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Tax is not fundamentally: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prestige-driven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litigation-driven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service-driven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g7s8uy0kz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transaction-engineering-driven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RAG must reason accordingly.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5m1ya0o4o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PRODUCT INSIGHT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Tax is one of the clearest examples of why RankPilot needs directory-specific intelligence.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same submission could be: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for Legal 500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for IFLR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for Chambers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for Leaders League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…depending entirely on: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directory rewards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market is evaluated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sophistication means in that ecosystem.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