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68c32n6gq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UNIVERSAL LEGAL 500 TAX LOGIC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hjp7eicvr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suele valorar Legal 500 en Tax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Generalmente: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kqn6thcqo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Non-contentious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structuring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tax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tax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tax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tax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pricing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tax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customs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incentives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t9nmwg9cr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Contentious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litigation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judicial litigation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authority negotiations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anti-avoidance disputes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pricing disputes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 litigation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31gc73rxv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DIFERENCIA CLAVE VS CHAMBERS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eseoh7tk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500 suele valorar más: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profundidad técnica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al cliente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consistency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knowledge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depth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accessibility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sophistication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m7j9koyn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suele valorar más: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prestige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visibility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reputation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“top matters”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perception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cambia el reasoning del sistema.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htwzdu0qj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RIESGO CRÍTICO EN EL RAG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RankPilot usa lógica Chambers para Legal 500:</w:t>
        <w:br w:type="textWrapping"/>
        <w:t xml:space="preserve"> → puede sobrepenalizar matters pequeños</w:t>
        <w:br w:type="textWrapping"/>
        <w:t xml:space="preserve"> → puede obsesionarse con prestige signals</w:t>
        <w:br w:type="textWrapping"/>
        <w:t xml:space="preserve"> → puede ignorar execution quality</w:t>
        <w:br w:type="textWrapping"/>
        <w:t xml:space="preserve"> → puede diagnosticar incorrectamente firmas excelentes técnicamente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jkkzw0mcd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LO QUE EL RAG DEBERÍA ENTENDER EN LEGAL 500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gidwha1uf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Team depth matters more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suele mirar: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del equipo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que Chambers.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m63cvpcmm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Sector specialization matters more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tax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mining tax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fintech tax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equity tax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tax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tener mucho peso.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e9ll903jt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Client service matters more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valora mucho: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pragmatism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commerciality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w6y6g1lq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Narrative style differs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tolera: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submissions más densos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técnicos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operativos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Chambers prefiere: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narrativa estratégica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storytelling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prestige framing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fxr9p0ldt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TAX-SPECIFIC SIGNALS PARA LEGAL 500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debería priorizar: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8sukdghzp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Non-contentious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sophistication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tax capability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support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integration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sector-specific expertise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implementation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yyko2j2ft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Litigation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capability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judicial strength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defense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authority strategy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sophistication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capability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ov5pog8r2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LEGAL 500 FAILURE MODES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auhpce0er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sistema NO debería: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medir solo deal size</w:t>
        <w:br w:type="textWrapping"/>
        <w:t xml:space="preserve"> ❌ asumir que bigger = better</w:t>
        <w:br w:type="textWrapping"/>
        <w:t xml:space="preserve"> ❌ priorizar únicamente “landmark matters”</w:t>
        <w:br w:type="textWrapping"/>
        <w:t xml:space="preserve"> ❌ usar lógica ultra-elite de Chambers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avcwam8uv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MUY IMPORTANTE PARA EL RAG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muchas veces detecta: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weakness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inconsistency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responsiveness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client handling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que Chambers.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RankPilot debería: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analizar consistencia narrativa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gaps operativos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cohesión de equipo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solo “prestige”.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mhgdivilc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OUTPUT IDEAL EN LEGAL 500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reasoning debería sonar más: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“la narrativa técnica es sólida pero falta claridad sectorial”</w:t>
        <w:br w:type="textWrapping"/>
        <w:t xml:space="preserve"> ✅ “el submission demuestra buena capacidad operativa”</w:t>
        <w:br w:type="textWrapping"/>
        <w:t xml:space="preserve"> ✅ “la práctica parece fuerte en execution pero débil en diferenciación”</w:t>
        <w:br w:type="textWrapping"/>
        <w:t xml:space="preserve"> ✅ “hay exceso de descripción y poca jerarquización”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menos: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“insufficient market prestige”</w:t>
        <w:br w:type="textWrapping"/>
        <w:t xml:space="preserve"> ❌ “lack of elite positioning”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…porque eso es más Chambers-thinking.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