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rFonts w:ascii="Times New Roman" w:cs="Times New Roman" w:eastAsia="Times New Roman" w:hAnsi="Times New Roman"/>
          <w:b/>
          <w:bCs/>
          <w:sz w:val="40"/>
          <w:szCs w:val="40"/>
        </w:rPr>
        <w:t xml:space="preserve">Chambers</w:t>
      </w:r>
    </w:p>
    <w:p>
      <w:pPr>
        <w:spacing w:after="300"/>
        <w:jc w:val="center"/>
      </w:pPr>
      <w:r>
        <w:rPr>
          <w:rFonts w:ascii="Times New Roman" w:cs="Times New Roman" w:eastAsia="Times New Roman" w:hAnsi="Times New Roman"/>
          <w:b/>
          <w:bCs/>
          <w:sz w:val="20"/>
          <w:szCs w:val="20"/>
        </w:rPr>
        <w:t xml:space="preserve">AND PARTNERS</w:t>
      </w:r>
    </w:p>
    <w:p>
      <w:pPr>
        <w:spacing w:after="300"/>
        <w:jc w:val="center"/>
      </w:pPr>
      <w:r>
        <w:rPr>
          <w:rFonts w:ascii="Times New Roman" w:cs="Times New Roman" w:eastAsia="Times New Roman" w:hAnsi="Times New Roman"/>
          <w:b/>
          <w:bCs/>
          <w:sz w:val="24"/>
          <w:szCs w:val="24"/>
        </w:rPr>
        <w:t xml:space="preserve">SUBMISSION FORM</w:t>
      </w:r>
    </w:p>
    <w:p>
      <w:pPr>
        <w:spacing w:after="40"/>
        <w:jc w:val="center"/>
      </w:pPr>
      <w:r>
        <w:rPr>
          <w:rFonts w:ascii="Times New Roman" w:cs="Times New Roman" w:eastAsia="Times New Roman" w:hAnsi="Times New Roman"/>
          <w:b/>
          <w:bCs/>
          <w:sz w:val="18"/>
          <w:szCs w:val="18"/>
        </w:rPr>
        <w:t xml:space="preserve">Please do not alter this submission template.</w:t>
      </w:r>
      <w:r>
        <w:rPr>
          <w:rFonts w:ascii="Times New Roman" w:cs="Times New Roman" w:eastAsia="Times New Roman" w:hAnsi="Times New Roman"/>
          <w:sz w:val="18"/>
          <w:szCs w:val="18"/>
        </w:rPr>
        <w:t xml:space="preserve"> If a question does not apply to you, please leave it blank.</w:t>
      </w:r>
    </w:p>
    <w:p>
      <w:pPr>
        <w:spacing w:after="200"/>
        <w:jc w:val="center"/>
      </w:pPr>
      <w:r>
        <w:rPr>
          <w:rFonts w:ascii="Times New Roman" w:cs="Times New Roman" w:eastAsia="Times New Roman" w:hAnsi="Times New Roman"/>
          <w:b/>
          <w:bCs/>
          <w:i/>
          <w:iCs/>
          <w:sz w:val="18"/>
          <w:szCs w:val="18"/>
        </w:rPr>
        <w:t xml:space="preserve">If something is confidential, mark it as such throughout.</w:t>
      </w:r>
    </w:p>
    <w:p>
      <w:pPr>
        <w:spacing w:after="100"/>
        <w:jc w:val="left"/>
      </w:pPr>
      <w:r>
        <w:rPr>
          <w:rFonts w:ascii="Times New Roman" w:cs="Times New Roman" w:eastAsia="Times New Roman" w:hAnsi="Times New Roman"/>
          <w:sz w:val="18"/>
          <w:szCs w:val="18"/>
        </w:rPr>
        <w:t xml:space="preserve">Please upload submissions online at: https://myaccount.chambers.com</w:t>
      </w:r>
    </w:p>
    <w:p>
      <w:pPr>
        <w:spacing w:after="400"/>
      </w:pPr>
      <w:r>
        <w:rPr>
          <w:rFonts w:ascii="Times New Roman" w:cs="Times New Roman" w:eastAsia="Times New Roman" w:hAnsi="Times New Roman"/>
          <w:sz w:val="18"/>
          <w:szCs w:val="18"/>
        </w:rPr>
        <w:t xml:space="preserve">You will need a username and password to manage your submission and profile. If you do not have an account with Chambers, please onboard here: How to Onboard With Chambers | Chambers and Partners</w:t>
      </w:r>
    </w:p>
    <w:p>
      <w:pPr>
        <w:spacing w:after="200" w:before="300"/>
        <w:jc w:val="center"/>
      </w:pPr>
      <w:r>
        <w:rPr>
          <w:rFonts w:ascii="Times New Roman" w:cs="Times New Roman" w:eastAsia="Times New Roman" w:hAnsi="Times New Roman"/>
          <w:b/>
          <w:bCs/>
          <w:sz w:val="24"/>
          <w:szCs w:val="24"/>
        </w:rPr>
        <w:t xml:space="preserve">A. PRELIMINARY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Firm name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Practice Area</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Tax</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A3</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Location (Jurisdiction)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Venezuela</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A4</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Contact person(s) to arrange interviews about this practice area</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Email</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Telephone number</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p>
      <w:pPr>
        <w:spacing w:after="200" w:before="300"/>
        <w:jc w:val="center"/>
      </w:pPr>
      <w:r>
        <w:rPr>
          <w:rFonts w:ascii="Times New Roman" w:cs="Times New Roman" w:eastAsia="Times New Roman" w:hAnsi="Times New Roman"/>
          <w:b/>
          <w:bCs/>
          <w:sz w:val="24"/>
          <w:szCs w:val="24"/>
        </w:rPr>
        <w:t xml:space="preserve">B. DEPARTMENT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Department name (used by firm)</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Number of partners in the department</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B3</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Number of other qualified lawyers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B7</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Head or Heads of department</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Email</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Telephone number</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María Carolina Cano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Gabriel Ruan Santos</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Ingrid Garcia Pacheco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B8</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Hires / Departures of partners in last 12 months 
(state if they joined or left, and name of the other firm)</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Joined / Departed</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Joined From / Destination (firm)</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260"/>
        <w:gridCol w:w="1000"/>
        <w:gridCol w:w="1000"/>
        <w:gridCol w:w="1600"/>
      </w:tblGrid>
      <w:tr>
        <w:tc>
          <w:tcPr>
            <w:tcW w:type="dxa" w:w="9360"/>
            <w:gridSpan w:val="5"/>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B9</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Information regarding Ranked and Unranked lawyers (including associates) in this practice area.</w:t>
            </w:r>
            <w:r>
              <w:rPr>
                <w:rFonts w:ascii="Times New Roman" w:cs="Times New Roman" w:eastAsia="Times New Roman" w:hAnsi="Times New Roman"/>
                <w:i/>
                <w:iCs/>
                <w:sz w:val="14"/>
                <w:szCs w:val="14"/>
              </w:rPr>
              <w:t xml:space="preserve">
Please do not repeat additional biographical information which is available on your website or via other sources. You may include a link to these biographies.</w:t>
            </w:r>
          </w:p>
        </w:tc>
      </w:tr>
      <w:tr>
        <w:tc>
          <w:tcPr>
            <w:tcW w:type="dxa" w:w="150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42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Comments or Web Link</w:t>
            </w:r>
          </w:p>
        </w:tc>
        <w:tc>
          <w:tcPr>
            <w:tcW w:type="dxa" w:w="1000"/>
            <w:tcBorders>
              <w:top w:val="single" w:color="000000" w:sz="1"/>
              <w:left w:val="single" w:color="000000" w:sz="1"/>
              <w:bottom w:val="single" w:color="000000" w:sz="1"/>
              <w:right w:val="single" w:color="000000" w:sz="1"/>
            </w:tcBorders>
            <w:vAlign w:val="top"/>
          </w:tcPr>
          <w:p>
            <w:pPr>
              <w:spacing w:after="80"/>
              <w:jc w:val="center"/>
            </w:pPr>
            <w:r>
              <w:rPr>
                <w:rFonts w:ascii="Times New Roman" w:cs="Times New Roman" w:eastAsia="Times New Roman" w:hAnsi="Times New Roman"/>
                <w:b/>
                <w:bCs/>
                <w:sz w:val="18"/>
                <w:szCs w:val="18"/>
              </w:rPr>
              <w:t xml:space="preserve">Partner
Y/N</w:t>
            </w:r>
          </w:p>
        </w:tc>
        <w:tc>
          <w:tcPr>
            <w:tcW w:type="dxa" w:w="1000"/>
            <w:tcBorders>
              <w:top w:val="single" w:color="000000" w:sz="1"/>
              <w:left w:val="single" w:color="000000" w:sz="1"/>
              <w:bottom w:val="single" w:color="000000" w:sz="1"/>
              <w:right w:val="single" w:color="000000" w:sz="1"/>
            </w:tcBorders>
            <w:vAlign w:val="top"/>
          </w:tcPr>
          <w:p>
            <w:pPr>
              <w:spacing w:after="80"/>
              <w:jc w:val="center"/>
            </w:pPr>
            <w:r>
              <w:rPr>
                <w:rFonts w:ascii="Times New Roman" w:cs="Times New Roman" w:eastAsia="Times New Roman" w:hAnsi="Times New Roman"/>
                <w:b/>
                <w:bCs/>
                <w:sz w:val="18"/>
                <w:szCs w:val="18"/>
              </w:rPr>
              <w:t xml:space="preserve">Ranked
Y/N</w:t>
            </w:r>
          </w:p>
        </w:tc>
        <w:tc>
          <w:tcPr>
            <w:tcW w:type="dxa" w:w="160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b/>
                <w:bCs/>
                <w:sz w:val="14"/>
                <w:szCs w:val="14"/>
              </w:rPr>
              <w:t xml:space="preserve">Current/recent parental leave, significant childcare commitments or other part-time working arrangements, if applicable. For more information, please see our leave policy).</w:t>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Gabriel Ruan Santos</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https://chambers.com/lawyer/gabriel-ruan-santos-latin-america-9:177712</w:t>
            </w:r>
          </w:p>
          <w:p>
            <w:pPr>
              <w:spacing w:after="40" w:before="100"/>
            </w:pPr>
            <w:r>
              <w:rPr>
                <w:rFonts w:ascii="Times New Roman" w:cs="Times New Roman" w:eastAsia="Times New Roman" w:hAnsi="Times New Roman"/>
                <w:sz w:val="18"/>
                <w:szCs w:val="18"/>
              </w:rPr>
              <w:t xml:space="preserve">Current ranking: Senior Statespeople</w:t>
            </w:r>
          </w:p>
          <w:p>
            <w:pPr>
              <w:spacing w:after="40"/>
            </w:pPr>
            <w:r>
              <w:rPr>
                <w:rFonts w:ascii="Times New Roman" w:cs="Times New Roman" w:eastAsia="Times New Roman" w:hAnsi="Times New Roman"/>
                <w:sz w:val="18"/>
                <w:szCs w:val="18"/>
              </w:rPr>
              <w:t xml:space="preserve">Suggested ranking: Senior Statespeople</w:t>
            </w:r>
          </w:p>
          <w:p>
            <w:pPr>
              <w:spacing w:after="80"/>
            </w:pPr>
            <w:r>
              <w:rPr>
                <w:rFonts w:ascii="Times New Roman" w:cs="Times New Roman" w:eastAsia="Times New Roman" w:hAnsi="Times New Roman"/>
                <w:sz w:val="18"/>
                <w:szCs w:val="18"/>
              </w:rPr>
              <w:t xml:space="preserve">Gabriel Ruán Santos is a Senior Partner with longstanding experience in contentious tax mandates. He co-leads ARAQUEREYNA’s advice to MAPFRE on income tax and the treatment of advance payments of VAT and income tax, including requests and consultations for submission to the tax authorities and related legal opinions. He is also one of the lead partners advising PEPSICO on SENIAT audit procedures concerning income tax and VAT, foreign-exchange gains and losses, and transfer pricing implications involving related entities abroad. His work also includes national tax and transfer pricing matters for a Venezuelan healthcare provider with a Barbadian related party.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María Carolina Cano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https://chambers.com/lawyer/maria-carolina-cano-gonzalez-latin-america-9:510375</w:t>
            </w:r>
          </w:p>
          <w:p>
            <w:pPr>
              <w:spacing w:after="40" w:before="100"/>
            </w:pPr>
            <w:r>
              <w:rPr>
                <w:rFonts w:ascii="Times New Roman" w:cs="Times New Roman" w:eastAsia="Times New Roman" w:hAnsi="Times New Roman"/>
                <w:sz w:val="18"/>
                <w:szCs w:val="18"/>
              </w:rPr>
              <w:t xml:space="preserve">Current ranking: Band 2</w:t>
            </w:r>
          </w:p>
          <w:p>
            <w:pPr>
              <w:spacing w:after="40"/>
            </w:pPr>
            <w:r>
              <w:rPr>
                <w:rFonts w:ascii="Times New Roman" w:cs="Times New Roman" w:eastAsia="Times New Roman" w:hAnsi="Times New Roman"/>
                <w:sz w:val="18"/>
                <w:szCs w:val="18"/>
              </w:rPr>
              <w:t xml:space="preserve">Suggested ranking: Band 1 (requested objective)</w:t>
            </w:r>
          </w:p>
          <w:p>
            <w:pPr>
              <w:spacing w:after="80"/>
            </w:pPr>
            <w:r>
              <w:rPr>
                <w:rFonts w:ascii="Times New Roman" w:cs="Times New Roman" w:eastAsia="Times New Roman" w:hAnsi="Times New Roman"/>
                <w:sz w:val="18"/>
                <w:szCs w:val="18"/>
              </w:rPr>
              <w:t xml:space="preserve">María Carolina Cano is a Senior Partner who leads tax work spanning cross-border transactions, tax controversy, corporate structuring and private-wealth planning. She was a lead partner on ARAQUEREYNA’s advice to Gruppo Montenegro on its acquisition of the Pampero rum brand and the Venezuelan operating, production, commercialisation and distribution framework, including direct and indirect taxes, VAT, alcohol and spirits tax, customs regimes and municipal taxation. She also leads the PEPSICO mandate involving SENIAT audit procedures concerning income tax and VAT, foreign-exchange gains and losses, and transfer pricing. Her work further includes tax structuring for Colombian investment into Venezuela, tax audit work for Turkish Airlines, and confidential cross-border wealth, succession and reorganisation mandates.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Ingrid García Pacheco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https://chambers.com/lawyer/ingrid-garcia-latin-america-9:1202668</w:t>
            </w:r>
          </w:p>
          <w:p>
            <w:pPr>
              <w:spacing w:after="40" w:before="100"/>
            </w:pPr>
            <w:r>
              <w:rPr>
                <w:rFonts w:ascii="Times New Roman" w:cs="Times New Roman" w:eastAsia="Times New Roman" w:hAnsi="Times New Roman"/>
                <w:sz w:val="18"/>
                <w:szCs w:val="18"/>
              </w:rPr>
              <w:t xml:space="preserve">Current ranking: Band 4</w:t>
            </w:r>
          </w:p>
          <w:p>
            <w:pPr>
              <w:spacing w:after="40"/>
            </w:pPr>
            <w:r>
              <w:rPr>
                <w:rFonts w:ascii="Times New Roman" w:cs="Times New Roman" w:eastAsia="Times New Roman" w:hAnsi="Times New Roman"/>
                <w:sz w:val="18"/>
                <w:szCs w:val="18"/>
              </w:rPr>
              <w:t xml:space="preserve">Suggested ranking: Band 2 (requested objective)</w:t>
            </w:r>
          </w:p>
          <w:p>
            <w:pPr>
              <w:spacing w:after="80"/>
            </w:pPr>
            <w:r>
              <w:rPr>
                <w:rFonts w:ascii="Times New Roman" w:cs="Times New Roman" w:eastAsia="Times New Roman" w:hAnsi="Times New Roman"/>
                <w:sz w:val="18"/>
                <w:szCs w:val="18"/>
              </w:rPr>
              <w:t xml:space="preserve">Ingrid García Pacheco is a Senior Partner whose practice combines local tax advice, contentious matters and international wealth and succession planning. She leads ARAQUEREYNA’s advice on shareholder-level corporate structuring designed to access applicable double-taxation and investment-protection treaty benefits. She also co-leads cross-border wealth planning and restructuring work for clients, including a structure involving a Spanish holding entity, a Venezuelan operating entity and tax planning for the disposition of Venezuelan real estate. Her recent work further includes municipal-tax strategy, import-related tax issues and tax recovery regimes, as well as assistance with income-tax audit monitoring, written submissions and tax planning for a Venezuelan film group and its affiliated non-profit entity.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Juan Carlos Balzán</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https://araquereyna.com/abogados_araquereyna/juan-carlos-balzan-en/</w:t>
            </w:r>
          </w:p>
          <w:p>
            <w:pPr>
              <w:spacing w:after="80"/>
            </w:pPr>
            <w:r>
              <w:rPr>
                <w:rFonts w:ascii="Times New Roman" w:cs="Times New Roman" w:eastAsia="Times New Roman" w:hAnsi="Times New Roman"/>
                <w:sz w:val="18"/>
                <w:szCs w:val="18"/>
              </w:rPr>
              <w:t xml:space="preserve">Juan Carlos Balzán is a Senior Partner and co-leads ARAQUEREYNA’s confidential work for a multinational IT infrastructure services provider on a corporate reorganisation and related tax matters. The mandate includes analysis of national and municipal tax obligations, the analysis and appeal of tax objections, and assistance during SENIAT audit procedures concerning income tax and VAT for the 2020 and 2021 fiscal years.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María Alejandra Garcia Nieto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https://araquereyna.com/abogados_araquereyna/maria-alejandra-garcia-en/</w:t>
            </w:r>
          </w:p>
          <w:p>
            <w:pPr>
              <w:spacing w:after="80"/>
            </w:pPr>
            <w:r>
              <w:rPr>
                <w:rFonts w:ascii="Times New Roman" w:cs="Times New Roman" w:eastAsia="Times New Roman" w:hAnsi="Times New Roman"/>
                <w:sz w:val="18"/>
                <w:szCs w:val="18"/>
              </w:rPr>
              <w:t xml:space="preserve">María Alejandra Garcia Nieto is a Senior Associate in ARAQUEREYNA’s Tax Department. She is listed on the team advising PEPSICO in connection with SENIAT audit procedures concerning income tax and VAT, foreign-exchange gains and losses, and transfer pricing implications involving related entities abroad. She also forms part of the teams assisting Turkish Airlines in a tourism-tax audit, advising family groups on cross-border wealth planning and corporate restructuring, and assisting heirs in connection with the verification of inheritance-tax returns. Her work also includes matters involving municipal tax strategy, import-related tax issues and tax recovery regimes.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B10</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What is this department best known for?
Please include: industry sector expertise; key types of work; areas of recent growth.
Address any feedback on our recent coverage of your department (500 word count limit)</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ARAQUEREYNA’s Tax practice advises on Venezuelan tax matters across transactions, controversy, operational taxation, corporate reorganisations and private-wealth planning. The team’s work includes direct and indirect taxes, income tax, VAT, municipal taxation, customs-related tax issues, transfer pricing, advance-payment regimes, tax recovery regimes, inheritance tax and tax planning.</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practice regularly combines tax advice with corporate, M&amp;A, labour, regulatory and finance capabilities where mandates require an integrated response. Recent work includes tax advice on Gruppo Montenegro’s acquisition of the Pampero rum brand and the Venezuelan framework for its operation and distribution; assistance to PEPSICO in SENIAT audit procedures concerning income tax and VAT, foreign-exchange gains and losses, and transfer pricing; and tax assistance to Turkish Airlines in a Ministry of Tourism audit concerning the special tourism tax.</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team also advises clients on national and municipal tax obligations, authority-facing requests and consultations, corporate restructurings, market-entry structures and cross-border wealth and succession planning. Its private-client work includes planning for family groups, inherited estates and Venezuelan real-estate holding structures, including mandates with connections to Spain, Barbados and the United States.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department is led by senior practitioners María Carolina Cano, Gabriel Ruán Santos and Ingrid García Pacheco. María Carolina Cano leads transactional, audit, structuring and wealth-planning mandates; Gabriel Ruán Santos contributes experience in contentious tax work and national-tax advisory matters; and Ingrid García Pacheco leads matters involving local taxation, estate planning and international structures. Senior Associate María Alejandra Garcia Nieto is listed across mandates involving tax audits, tax controversy, succession planning and tax structuring.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C1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If you have used barristers / advocates in the UK, Australia, Hong Kong, India, Malaysia, New Zealand or Sri Lanka please provide the information below (Optional)</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Barrister/advocate 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Firm / Set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Comments</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C2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Feedback on our coverage of this practice area (Optional)</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seeks continued recognition in Chambers Venezuela Tax for a practice that combines transactional tax, contentious and audit work, ongoing operational advice, and private-wealth planning.</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team’s representative work includes tax analysis across direct and indirect taxes, VAT, alcohol and spirits tax, customs and municipal taxation in connection with Gruppo Montenegro’s completed acquisition of the Pampero rum brand. It also assists PEPSICO in SENIAT audit procedures concerning income tax and VAT, foreign-exchange gains and losses, and transfer pricing; advised Turkish Airlines during a tourism-tax audit that closed with a resolution; and advises MAPFRE on income tax and advance-payment regimes.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practice further demonstrates depth in corporate restructurings, cross-border investment and market-entry work, municipal tax planning, import-related tax issues, tax recovery regimes, succession matters and wealth-planning structures. María Carolina Cano, Gabriel Ruán Santos and Ingrid García Pacheco provide senior leadership across these mandates, while María Alejandra Garcia Nieto contributes to the team’s visibility on audit, controversy and private-client work.</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This combination of corporate tax, controversy and private-client capability supports continued coverage for the practice.</w:t>
            </w:r>
          </w:p>
        </w:tc>
      </w:tr>
    </w:tbl>
    <w:p>
      <w:r>
        <w:br w:type="page"/>
      </w:r>
    </w:p>
    <w:p>
      <w:pPr>
        <w:spacing w:after="100" w:before="200"/>
        <w:jc w:val="center"/>
      </w:pPr>
      <w:r>
        <w:rPr>
          <w:rFonts w:ascii="Times New Roman" w:cs="Times New Roman" w:eastAsia="Times New Roman" w:hAnsi="Times New Roman"/>
          <w:b/>
          <w:bCs/>
          <w:sz w:val="24"/>
          <w:szCs w:val="24"/>
        </w:rPr>
        <w:t xml:space="preserve">D. PUBLISHABLE INFORMATION</w:t>
      </w:r>
    </w:p>
    <w:p>
      <w:pPr>
        <w:spacing w:after="200"/>
      </w:pPr>
      <w:r>
        <w:rPr>
          <w:rFonts w:ascii="Times New Roman" w:cs="Times New Roman" w:eastAsia="Times New Roman" w:hAnsi="Times New Roman"/>
          <w:i/>
          <w:iCs/>
          <w:sz w:val="16"/>
          <w:szCs w:val="16"/>
        </w:rPr>
        <w:t xml:space="preserve">All information in section 'D' is considered PUBLISHABLE. Do not include any confidential information in this section. Confidential information can be included in section 'E'. Information in section 'D' may be printed in Chambers and Partners publications.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D0 –</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PUBLISHABLE CLIENTS – List of this department's PUBLISHABLE clients. Please indicate whether a client is a new client (within the last 12 months). If this information is not known, leave the field blank.</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 of Client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New Client (Y/N)</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Gruppo Montenegro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2</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PEPSICO &amp; Empresas Filiales</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3</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Turkish Airlines Sucursal Venezuela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4</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BRANZA 1800, S.A.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5</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MAPFRE</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6</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BDO Colombia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7</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Centro Médico De Caracas C.A.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8</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Tecnipiscinas, C.A.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9</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Distribuidora Bolívar Films / Escuela Nacional De Cine</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Gruppo Montenegro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ARAQUEREYNA’s Tax and Corporate teams advised Gruppo Montenegro on its acquisition of the Venezuelan Pampero rum brand from Diageo and on the Venezuelan operation, production, commercialisation and distribution of the brand, which enjoys the attributes and protection of the Denomination of Controlled Origin “Ron de Venezuela.” The mandate involved Venezuela, Italy and the United Kingdom and was led by María Carolina Cano, Manuel Reyna and Gustavo Reyna.</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tax work included analysis and identification of the applicable direct and indirect taxation, income tax, VAT, the Alcohol and Spirits Tax Act, customs regimes and municipal taxation. The acquisition completed on 17 July 2024; the client’s local legal organisation and permitting process for direct operation, production and distribution in Venezuela remain in progress.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Yes – Venezuela, Italy, and United Kingdom</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Maria Carolina Cano (Senior Partner, member of ARAQUEREYNA’s Executive Committee), Manuel Reyna (Senior Partner, member of ARAQUEREYNA’s Executive Committee), and Gustavo Reyna (Senior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Loriane Damian (Senior Associate), Samuel Morales (Associate), Estefania Lizardo (Senior Associate)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DLA Piper Italy – Leading firm on the matter.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Date of completion: July 17th, 2024</w:t>
            </w:r>
          </w:p>
          <w:p>
            <w:pPr>
              <w:spacing w:after="80"/>
            </w:pPr>
            <w:r>
              <w:rPr>
                <w:rFonts w:ascii="Times New Roman" w:cs="Times New Roman" w:eastAsia="Times New Roman" w:hAnsi="Times New Roman"/>
                <w:sz w:val="20"/>
                <w:szCs w:val="20"/>
              </w:rPr>
              <w:t xml:space="preserve">Status: Although the acquisition has been completed, there is currently a transitional period during which Montenegro´s legal organization for the further development of the Pampero brand in Venezuela is being advanced through the incorporation of its local entity and the obtaining of all the necessary permits to act directly as operator, producer, and distributor of the Pampero rum brand in Venezuela.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2</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PEPSICO &amp; Empresas Filiales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advises PEPSICO Group on national and municipal tax obligations and on the analysis and appeal of tax objections. The matter is led by María Carolina Cano, Gabriel Ruan and Ingrid García; María Alejandra Garcia Nieto is a listed Senior Associate on the team.</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During 2024, the team assisted with SENIAT audit procedures concerning income tax and VAT for fiscal years 2019 and 2020, including the tax treatment of foreign-exchange gains and losses in the context of hyperinflation and currency devaluation. The ongoing mandate also addresses transfer pricing implications involving related entities in Uruguay and Ireland and advice on new tax regulations.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Yes. Our assistance implies analysis of fiscal effects of cross border transactions between related entities in Uruguay and in Ireland.</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María Carolina Cano (Senior Partner, member of ARAQUEREYNA’s Executive Committee), Gabriel Ruan (Senior Partner) and Ingrid García (Senior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Maria Alejandra Garcia Nieto (Senior Associate).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We are working with the external auditors of PepsiCo (PWC) and with regional in-house tax and financial team of the client.</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3</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Turkish Airlines Sucursal Venezuela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assisted Turkish Airlines (THY) during a tax audit process initiated by the Ministry of Tourism in relation to the special tourism tax applicable to tourism service providers. Maria Carolina Cano and Manuel Reyna led the matter, with María Alejandra García and Samuel Morales on the team.</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tax audit procedure closed with a Resolution determining an amount equivalent to 1% of the total amount of the tax assessment, including fine and interests.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Maria Carolina Cano (Senior Partner, member of ARAQUEREYNA’s Executive Committee) and Manuel Reyna (Corporate and M&amp;A Senior Partner, member of ARAQUEREYNA’s Executive Committee).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María Alejandra García (Senior Associate) and Samuel Morales (Associate)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Sarangeli, Garcia y Asociados (External Public Accountants)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The tax audit procedure has closed with a Resolution determining an amount equivalent to 1% of the total amount of the tax assessment (including fine and interests).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4</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BRANZA 1800, S.A.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is advising BRANZA 1800 on municipal taxation, import-related tax issues and tax recovery regimes. María Carolina Cano, Gabriel Ruan Santos and Ingrid García Pacheco lead the mandate, with María Alejandra García listed as Senior Associate.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team designed a municipal tax strategy, handled tax aspects of importing raw materials for commercialisation in Venezuela, advised on tax recovery regimes arising from exempt activities, and advised on tax legislation enacted in 2024, including the Pension Protection Law. The mandate is 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María Carolina Cano (Senior Partner, member of ARAQUEREYNA’s Executive Committee), Gabriel Ruan Santos (Senior Partner) and Ingrid García Pacheco (Senior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María Alejandra García (Senior Associate).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MAPFRE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advises MAPFRE on national tax matters, including income tax and the impact and treatment of advance payments of income tax and VAT. Gabriel Ruan and María Carolina Cano lead the mandate; Ingrid García and María Alejandra García are listed on the team.</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team has prepared requests and consultations for submission to tax authorities and legal opinions on the client’s national tax questions. The mandate remains 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Gabriel Ruan (Senior Partner) and Maria Carolina Cano (Senior Partner, member of ARAQUEREYNA’s Executive Committee).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Ingrid Garcia (Senior Partner) and Maria Alejandra García (Senior Associate), Patricia Lozada (Labour Senior Associate).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6</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BDO Colombia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is advising BDO Colombia on establishing operations in Venezuela. María Carolina Cano leads the tax component, working with the Corporate and M&amp;A and Labour teams.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Tax Department has advised on fiscal and parafiscal obligations for the two entities through which the BDO group operates in Venezuela and provides ongoing tax services. It is also designing the basis for a non-exclusive joint-venture scheme to provide legal and tax services for clients in Venezuela, principally new businesses and investors from Colombia. The mandate remains 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Yes. Colombia and Venezuela.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Maria Carolina Cano (Senior Partner, member of ARAQUEREYNA’s Executive Committee)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Pedro I. Sosa (Corporate and M&amp;A Senior Partner and Managing Partner), Patricia Lozada (Labour Senior Associate) and Estefania Lizardo (Corporate Senior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7</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Centro Médico De Caracas C.A.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continues to advise Centro Médico de Caracas on national taxes, including income and patrimony tax. María Carolina Cano leads the mandate; Gabriel Ruan Santos and María Alejandra García are listed on the team.</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work includes legal opinions and validation of tax-planning strategies with the client’s financial and external auditors. The mandate is ongoing; its stated cross-border component concerns transfer-pricing matters arising from transactions with a Barbadian related party.</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Yes. Barbados and Venezuela.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María Carolina Cano (Senior Partner, member of ARAQUEREYNA’s Executive Committee)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Gabriel Ruan Santos (Senior Partner) and María Alejandra García (Senior Associate).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Marambio, Rivillo, Perez y Pineda (Accountant and financial external advisors). - https://www.marambio-hlb.com/about-us/?lang=es</w:t>
            </w:r>
          </w:p>
          <w:p>
            <w:pPr>
              <w:spacing w:after="80"/>
            </w:pPr>
            <w:r>
              <w:rPr>
                <w:rFonts w:ascii="Times New Roman" w:cs="Times New Roman" w:eastAsia="Times New Roman" w:hAnsi="Times New Roman"/>
                <w:sz w:val="20"/>
                <w:szCs w:val="20"/>
              </w:rPr>
              <w:t xml:space="preserve">We work together, in the tax planning strategies to manage the tax impact of the application of current national taxes in force in Venezuela.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8</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Tecnipiscinas, C.A.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provides ongoing general tax advice to Tecnipiscinas and assists its shareholders with corporate-structure planning. Ingrid García Pacheco leads the mandate, with María Carolina Cano and María Alejandra García listed on the team.</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work concerns the design and management of a corporate structure intended to access benefits under applicable double-taxation and investment-protection treaties. The mandate remains 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Ingrid Garcia Pacheco (Senior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Maria Carolina Cano (Senior Partner, member of ARAQUEREYNA’s Executive Committee) and Maria Alejandra Garcia (Senior Associate)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Barreto &amp; Asociados (External Public Accountant Firm associated with Parker Russell International) - https://barretoyasociadoslaw.com/</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9</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Distribuidora Bolívar Films / Escuela Nacional De Cine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provides ongoing legal and tax advice to Distribuidora Bolívar Films and its Venezuelan affiliates, including a production company and a non-profit film school. María Carolina Cano and Ingrid García Pacheco lead the mandate; María Alejandra García is listed as Senior Associate.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team advises on applicable tax benefits, monitors income-tax audit procedures, conducts risk analysis, prepares written submissions and designs tax-planning strategies.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Maria Carolina Cano (Senior Partner, member of ARAQUEREYNA’s Executive Committee) and Ingrid García Pacheco (Senior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María Alejandra García (Senior Associate).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p>
      <w:pPr>
        <w:spacing w:after="100" w:before="200"/>
        <w:jc w:val="center"/>
      </w:pPr>
      <w:r>
        <w:rPr>
          <w:rFonts w:ascii="Times New Roman" w:cs="Times New Roman" w:eastAsia="Times New Roman" w:hAnsi="Times New Roman"/>
          <w:b/>
          <w:bCs/>
          <w:sz w:val="24"/>
          <w:szCs w:val="24"/>
        </w:rPr>
        <w:t xml:space="preserve">E. CONFIDENTIAL INFORMATION</w:t>
      </w:r>
    </w:p>
    <w:p>
      <w:pPr>
        <w:spacing w:after="200"/>
      </w:pPr>
      <w:r>
        <w:rPr>
          <w:rFonts w:ascii="Times New Roman" w:cs="Times New Roman" w:eastAsia="Times New Roman" w:hAnsi="Times New Roman"/>
          <w:i/>
          <w:iCs/>
          <w:sz w:val="16"/>
          <w:szCs w:val="16"/>
        </w:rPr>
        <w:t xml:space="preserve">All information in section 'E' is considered CONFIDENTIAL and NOT FOR PUBLICATION. Information in this section will only be used for our internal ranking purposes. If any part of a matter is confidential it should be included in this section 'E' not section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E0 –</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CONFIDENTIAL CLIENTS – List of this department's CONFIDENTIAL clients. Please indicate whether a client is a new client (within the last 12 months). If this information is not known, leave the field blank.</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 of Client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New Client (Y/N)</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Kyndryl De Venezuela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2</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Editores Orientales, C.A.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3</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Sucesión Zuloaga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4</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Ceballos.</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5</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Pizzolante Comunicación Estratégica.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6</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Sucesión Juan Otaola Pavan</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Kyndryl De Venezuela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is advising a multinational IT infrastructure services provider on a corporate reorganisation and corporate-governance modifications connected with a strategy to minimise Venezuelan operations. Juan Carlos Balzán and María Carolina Cano lead the mandate; Ingrid García, Gabriel Ruan Santos and María Alejandra Garcia Nieto are listed on the team.</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Tax Department is analysing national and municipal obligations and the analysis and appeal of tax objections. During 2024, it assisted in SENIAT audit procedures concerning income tax and VAT for fiscal years 2020 and 2021. The mandate remains 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Juan Carlos Balzán (Senior Partner) and María Carolina Cano (Senior Partner, member of ARAQUEREYNA’s Executive Committee).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Ingrid García (Senior Partner), Gabriel Ruan Santos (Senior Partner) and Maria Alejandra García (Senior Associate).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KPMG (Yanneli Manrique - https://kpmg.com/ve/es/home.html) and Marambio, Rivillo, Pérez, Pineda (Omar Marambio - https://www.marambio-hlb.com/?lang=es)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2</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Editores Orientales, C.A.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is continuing to consolidate an international wealth-planning structure for a confidential client. María Carolina Cano and Ingrid García lead the mandate, with María Alejandra García listed as Senior Associate.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work involves a holding entity based in Spain, the Venezuelan operating entity and tax planning for the disposition of Venezuelan real-estate assets. The mandate is ongoing and has stated connections with Spain, Venezuela and the United States.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Yes. Spain, Venezuela and USA.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María Carolina Cano (Senior Partner, member of ARAQUEREYNA’s Executive Committee) and Ingrid García (Senior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Maria Alejandra García (Senior Associate)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SAAGA (previously known as OnNe Consulting) (Juan Pablo Martinez Blatt) - https://www.saagawealth.com/</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3</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Sucesión Zuloaga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continues to assist the heirs of a confidential inherited estate on its corporate and tax status. María Carolina Cano leads the mandate; Ingrid García Pacheco, María Alejandra Garcia and Estefania Lizardo are listed on the team.</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ongoing work includes assistance in the verification process initiated by SENIAT in relation to inheritance-tax returns. The matter has stated Venezuela and United States elements.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Yes. Venezuela and USA.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María Carolina Cano (Senior Partner and member of ARAQUEREYNA’s Executive Committee).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Ingrid García Pacheco (Senior Partner) and Maria Alejandra Garcia (Senior Associate) and Estefania Lizardo (Senior Associate).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4</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Ceballos.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is advising a confidential family group on a restructuring plan for several companies holding real-estate assets. Ingrid García and María Carolina Cano lead the mandate, with María Alejandra García listed on the team.</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work includes development of a wealth-planning structure intended to reduce the family members’ tax exposure. The mandate remains ongoing and has stated connections with Barbados, Venezuela and the United States.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Yes. Barbados, Venezuela and USA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Ingrid Garcia (Senior Partner) and María Carolina Cano (Senior Partner and member of ARAQUEREYNA’s Executive Committee).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Pedro Planchart (Corporate and Banking &amp; Finance Senior Partner) and Maria Alejandra García (Senior Associate).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Barreto &amp; Asociados. (External Public Accountant Firm associated with Parker Russell International) - https://barretoyasociadoslaw.com/</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Pizzolante Comunicación Estratégica.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is advising a confidential international business strategy and communications group and its shareholders on tax matters across the group’s entities. María Carolina Cano leads the matter; Ingrid García and María Alejandra García are listed on the team.</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work includes advice on the tax and corporate implications arising from the group’s corporate reorganisation. The mandate remains ongoing and has stated connections with the United States, Dominican Republic, Panama, Barbados and Venezuela.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Yes. USA, Dominican Republic, Panamá, Barbados and Venezuela.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Maria Carolina Cano (Senior Partner, member of ARAQUEREYNA’s Executive Committee).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Pedro I. Sosa (Corporate and M&amp;A Senior Partner and Managing Partner) and Ingrid García (Senior Partner) and María Alejandra García (Senior Associate).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6</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Sucesión Juan Otaola Pavan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is advising a confidential inherited family business group on the regularisation and legal and tax management of companies forming part of inherited assets. Ingrid García and Manuel Reyna lead the mandate; María Carolina Cano and María Alejandra García are listed on the team.</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ongoing work also includes legal documentation and the tax implications of inheritance-partition proceedings.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Ingrid García (Senior Partner) and Manuel Reyna (Corporate and M&amp;A Senior Partner, member of ARAQUEREYNA’s Executive Committee)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Maria Carolina Cano (Senior Partner and member of ARAQUEREYNA’s Executive Committee) and María Alejandra García (Senior Associate)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jc w:val="center"/>
    </w:pPr>
    <w:r>
      <w:rPr>
        <w:rFonts w:ascii="Times New Roman" w:cs="Times New Roman" w:eastAsia="Times New Roman" w:hAnsi="Times New Roman"/>
        <w:b/>
        <w:bCs/>
        <w:sz w:val="16"/>
        <w:szCs w:val="16"/>
      </w:rPr>
      <w:t xml:space="preserve">Please upload completed submissions online at https://myaccount.chambers.com</w:t>
    </w:r>
  </w:p>
  <w:p>
    <w:pPr>
      <w:spacing w:after="80"/>
      <w:jc w:val="center"/>
    </w:pPr>
    <w:r>
      <w:rPr>
        <w:rFonts w:ascii="Times New Roman" w:cs="Times New Roman" w:eastAsia="Times New Roman" w:hAnsi="Times New Roman"/>
        <w:sz w:val="14"/>
        <w:szCs w:val="14"/>
      </w:rPr>
      <w:t xml:space="preserve">You will need a username and password to manage your submission and profile.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right"/>
    </w:pPr>
    <w:r>
      <w:rPr>
        <w:rFonts w:ascii="Times New Roman" w:cs="Times New Roman" w:eastAsia="Times New Roman" w:hAnsi="Times New Roman"/>
        <w:color w:val="888888"/>
        <w:sz w:val="14"/>
        <w:szCs w:val="14"/>
      </w:rPr>
      <w:t xml:space="preserve">Ref: PAB006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80"/>
    </w:pPr>
    <w:rPr>
      <w:rFonts w:ascii="Times New Roman" w:cs="Times New Roman" w:eastAsia="Times New Roman" w:hAnsi="Times New Roman"/>
      <w:sz w:val="20"/>
      <w:szCs w:val="20"/>
    </w:rPr>
  </w:style>
  <w:style w:type="paragraph" w:styleId="Heading1">
    <w:name w:val="Heading 1"/>
    <w:basedOn w:val="Normal"/>
    <w:next w:val="Normal"/>
    <w:pPr>
      <w:spacing w:after="200" w:before="30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Chambers Submission - ARAQUEREYNA - Tax</dc:title>
  <dc:creator>RankPilot 2026</dc:creator>
  <dc:description>Chambers &amp; Partners submission form for ARAQUEREYNA in Tax</dc:description>
  <cp:lastModifiedBy>Un-named</cp:lastModifiedBy>
  <cp:revision>1</cp:revision>
  <dcterms:created xsi:type="dcterms:W3CDTF">2026-10-08T19:24:06.326Z</dcterms:created>
  <dcterms:modified xsi:type="dcterms:W3CDTF">2026-10-08T19:24:06.326Z</dcterms:modified>
</cp:coreProperties>
</file>

<file path=docProps/custom.xml><?xml version="1.0" encoding="utf-8"?>
<Properties xmlns="http://schemas.openxmlformats.org/officeDocument/2006/custom-properties" xmlns:vt="http://schemas.openxmlformats.org/officeDocument/2006/docPropsVTypes"/>
</file>