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RANKPILOT — Strategic Audit Letter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Firm: </w:t>
      </w:r>
      <w:r>
        <w:rPr>
          <w:sz w:val="22"/>
          <w:szCs w:val="22"/>
        </w:rPr>
        <w:t xml:space="preserve">DeForest Abogados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Practice: </w:t>
      </w:r>
      <w:r>
        <w:rPr>
          <w:sz w:val="22"/>
          <w:szCs w:val="22"/>
        </w:rPr>
        <w:t xml:space="preserve">Labour &amp; Employment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Confidential internal review. Ranking outcomes are determined by the directory.</w:t>
      </w:r>
    </w:p>
    <w:p>
      <w:pPr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1. Executive Verdict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recomendación estratégica sigue siendo presentar una candidatura de primera inclusión (</w:t>
      </w:r>
      <w:r>
        <w:rPr>
          <w:b w:val="false"/>
          <w:bCs w:val="false"/>
          <w:i/>
          <w:iCs/>
          <w:sz w:val="22"/>
          <w:szCs w:val="22"/>
        </w:rPr>
        <w:t xml:space="preserve">First-time recognition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), no una solicitud de subida: la consulta oficial acotada de Chambers para Labour &amp; Employment, México, edición 2027, no halló coincidencia exacta para DeForest Abogados. Ese resultado no prueba ausencia de ranking en otros directorios, ediciones o alcances, ni permite afirmar una posición actual. La cartera muestra una identidad employer-side consistente: relaciones colectivas y disputas de representatividad sindical, integración post-adquisición, reestructuración, litigio laboral y constitucional, inspecciones, seguridad social y gobierno laboral multiestatal. Su fortaleza comparativa es la combinación de resultados reportados —prevención de huelgas, continuidad operativa, amparo favorable, conciliaciones e inspecciones sin multas— con carteras activas de escala relevante. SCHAEFFLER debe conservarse como hero: acredita integración posterior a adquisición en seis estados para más de 5.000 empleados, armonización de documentación individual y colectiva y 35 procedimientos activos, todo atribuido a Eduardo Garduño; frente a Bonatti, concentra con mayor claridad transformación laboral multiestatal y valor institucional e individual. B10 cuenta con respaldo suministrado para indicar que el equipo de Puebla gestiona aproximadamente 700 disputas laborales y que el equipo asistió a más de 20 clientes en inspecciones laborales durante los últimos 12 meses; esas cifras son distintas de los aproximadamente 700 empleados de Recicla Ambiente. La investigación externa sigue siendo parcial: los perfiles recuperados de tres firmas Band 5 reflejan categorías análogas —negociación colectiva, disputas, seguridad social y reformas—, pero no permiten calibración completa ni predicción de banda.</w:t>
      </w:r>
    </w:p>
    <w:p>
      <w:pPr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2. Recommended Portfolio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b/>
          <w:bCs/>
          <w:i w:val="false"/>
          <w:iCs w:val="false"/>
          <w:sz w:val="22"/>
          <w:szCs w:val="22"/>
        </w:rPr>
        <w:t xml:space="preserve">SCHAEFFLER — Hero: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Eduardo Garduño lideró la integración laboral posterior a la adquisición de Vitesco Technologies en seis estados, para más de 5.000 empleados, con 35 procedimientos activos relacionados. 2. </w:t>
      </w:r>
      <w:r>
        <w:rPr>
          <w:b/>
          <w:bCs/>
          <w:i w:val="false"/>
          <w:iCs w:val="false"/>
          <w:sz w:val="22"/>
          <w:szCs w:val="22"/>
        </w:rPr>
        <w:t xml:space="preserve">Bonatti SpA / Bonatti México: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Javier Atzin Vallejo lidera arquitectura laboral de proyectos energéticos, más de 20 disputas, conciliaciones mayoritarias, reducción reportada de exposición de aproximadamente 80% y prevención de huelga. 3. </w:t>
      </w:r>
      <w:r>
        <w:rPr>
          <w:b/>
          <w:bCs/>
          <w:i w:val="false"/>
          <w:iCs w:val="false"/>
          <w:sz w:val="22"/>
          <w:szCs w:val="22"/>
        </w:rPr>
        <w:t xml:space="preserve">Brose México: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Javier Atzin Vallejo dirige negociación y litigio en una disputa de titularidad colectiva; la fuente reporta prevención de paros y de escalamiento bajo el Mecanismo Laboral de Respuesta Rápida del T-MEC. 4. </w:t>
      </w:r>
      <w:r>
        <w:rPr>
          <w:b/>
          <w:bCs/>
          <w:i w:val="false"/>
          <w:iCs w:val="false"/>
          <w:sz w:val="22"/>
          <w:szCs w:val="22"/>
        </w:rPr>
        <w:t xml:space="preserve">GeNI de México: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Eduardo Garduño figura entre los líderes de una negociación colectiva que evitó una huelga y preservó producción. 5. </w:t>
      </w:r>
      <w:r>
        <w:rPr>
          <w:b/>
          <w:bCs/>
          <w:i w:val="false"/>
          <w:iCs w:val="false"/>
          <w:sz w:val="22"/>
          <w:szCs w:val="22"/>
        </w:rPr>
        <w:t xml:space="preserve">Volkswagen de México y VW Financial Services: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Eduardo Garduño lidera cartera activa con exposición agregada cercana a MXN 280 millones y trabajo de documentación, disciplina y gobierno laboral. 6. </w:t>
      </w:r>
      <w:r>
        <w:rPr>
          <w:b/>
          <w:bCs/>
          <w:i w:val="false"/>
          <w:iCs w:val="false"/>
          <w:sz w:val="22"/>
          <w:szCs w:val="22"/>
        </w:rPr>
        <w:t xml:space="preserve">Cinemex: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Eduardo Garduño codirige aproximadamente 200 procedimientos activos, conciliaciones, reestructuraciones y prevención para una plantilla de más de 11.000 personas. 7. </w:t>
      </w:r>
      <w:r>
        <w:rPr>
          <w:b/>
          <w:bCs/>
          <w:i w:val="false"/>
          <w:iCs w:val="false"/>
          <w:sz w:val="22"/>
          <w:szCs w:val="22"/>
        </w:rPr>
        <w:t xml:space="preserve">Coats de México: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Eduardo Garduño lidera transformación de plantilla en Puebla, Veracruz y Tlaxcala, con documentación colectiva y negociaciones sindicales que preservaron estabilidad operativa. 8. </w:t>
      </w:r>
      <w:r>
        <w:rPr>
          <w:b/>
          <w:bCs/>
          <w:i w:val="false"/>
          <w:iCs w:val="false"/>
          <w:sz w:val="22"/>
          <w:szCs w:val="22"/>
        </w:rPr>
        <w:t xml:space="preserve">Poliuretanos Summa Woodbridge: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José Alberto Díaz Méndez es responsable nombrado de una reestructuración de aproximadamente ocho compañías, entidad de servicios especializados, sustituciones patronales y litigio de seguridad social en curso. 9. </w:t>
      </w:r>
      <w:r>
        <w:rPr>
          <w:b/>
          <w:bCs/>
          <w:i w:val="false"/>
          <w:iCs w:val="false"/>
          <w:sz w:val="22"/>
          <w:szCs w:val="22"/>
        </w:rPr>
        <w:t xml:space="preserve">Mextypsa: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Javier Atzin Vallejo lidera arquitectura laboral de infraestructura, desmovilización y amparo que restauró derechos procesales y reabrió el procedimiento impugnado. 10. </w:t>
      </w:r>
      <w:r>
        <w:rPr>
          <w:b/>
          <w:bCs/>
          <w:i w:val="false"/>
          <w:iCs w:val="false"/>
          <w:sz w:val="22"/>
          <w:szCs w:val="22"/>
        </w:rPr>
        <w:t xml:space="preserve">Benteler: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Eduardo Garduño lidera respuesta en curso a conflicto de representatividad sindical mediante litigio, estrategia colectiva y negociación. 11. </w:t>
      </w:r>
      <w:r>
        <w:rPr>
          <w:b/>
          <w:bCs/>
          <w:i w:val="false"/>
          <w:iCs w:val="false"/>
          <w:sz w:val="22"/>
          <w:szCs w:val="22"/>
        </w:rPr>
        <w:t xml:space="preserve">Recicla Ambiente: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Eduardo Garduño dirige asesoría colectiva para aproximadamente 700 empleados en seis localidades y ante distintos sindicatos. 12. </w:t>
      </w:r>
      <w:r>
        <w:rPr>
          <w:b/>
          <w:bCs/>
          <w:i w:val="false"/>
          <w:iCs w:val="false"/>
          <w:sz w:val="22"/>
          <w:szCs w:val="22"/>
        </w:rPr>
        <w:t xml:space="preserve">Robert Bosch de México: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Javier Atzin Vallejo lidera gobierno laboral, sindical y de seguridad social para aproximadamente 17.000 trabajadores. 13. </w:t>
      </w:r>
      <w:r>
        <w:rPr>
          <w:b/>
          <w:bCs/>
          <w:i w:val="false"/>
          <w:iCs w:val="false"/>
          <w:sz w:val="22"/>
          <w:szCs w:val="22"/>
        </w:rPr>
        <w:t xml:space="preserve">Nueva Empresa: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Javier Atzin Vallejo lideró amparo en el que un Tribunal Colegiado reconoció legitimación del representante y restituyó el derecho de defensa; los procedimientos continúan. 14. </w:t>
      </w:r>
      <w:r>
        <w:rPr>
          <w:b/>
          <w:bCs/>
          <w:i w:val="false"/>
          <w:iCs w:val="false"/>
          <w:sz w:val="22"/>
          <w:szCs w:val="22"/>
        </w:rPr>
        <w:t xml:space="preserve">BADAK: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Javier Atzin Vallejo combinó litigio constitucional y negociación; una reclamación pasó de aproximadamente MXN 1,06 millones a MXN 20.000, mientras otros procedimientos siguen. 15. </w:t>
      </w:r>
      <w:r>
        <w:rPr>
          <w:b/>
          <w:bCs/>
          <w:i w:val="false"/>
          <w:iCs w:val="false"/>
          <w:sz w:val="22"/>
          <w:szCs w:val="22"/>
        </w:rPr>
        <w:t xml:space="preserve">Empresa Tekia: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Jaime Bustamante lidera estrategia vigente de litigio, amparo y negociación ante contingencias cercanas a MXN 16 millones y dos sentencias adversas por aproximadamente MXN 6,5 millones. 16. </w:t>
      </w:r>
      <w:r>
        <w:rPr>
          <w:b/>
          <w:bCs/>
          <w:i w:val="false"/>
          <w:iCs w:val="false"/>
          <w:sz w:val="22"/>
          <w:szCs w:val="22"/>
        </w:rPr>
        <w:t xml:space="preserve">Grupo Solana: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José Alberto Díaz Méndez es responsable nombrado de sustitución patronal para más de 1.200 personas, tras reactivación de registro patronal sin interrupción operativa reportada. 17. </w:t>
      </w:r>
      <w:r>
        <w:rPr>
          <w:b/>
          <w:bCs/>
          <w:i w:val="false"/>
          <w:iCs w:val="false"/>
          <w:sz w:val="22"/>
          <w:szCs w:val="22"/>
        </w:rPr>
        <w:t xml:space="preserve">SCOTCH: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único asunto expresamente publicable; José Alberto Díaz Méndez es responsable nombrado de revisión REPSE y auditoría de más de 80 proveedores. 18. </w:t>
      </w:r>
      <w:r>
        <w:rPr>
          <w:b/>
          <w:bCs/>
          <w:i w:val="false"/>
          <w:iCs w:val="false"/>
          <w:sz w:val="22"/>
          <w:szCs w:val="22"/>
        </w:rPr>
        <w:t xml:space="preserve">Securitas de México: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Eduardo Garduño lidera más de 50 procedimientos y asesoría preventiva en cuatro ciudades; Erick Pérez integra el equipo. 19. </w:t>
      </w:r>
      <w:r>
        <w:rPr>
          <w:b/>
          <w:bCs/>
          <w:i w:val="false"/>
          <w:iCs w:val="false"/>
          <w:sz w:val="22"/>
          <w:szCs w:val="22"/>
        </w:rPr>
        <w:t xml:space="preserve">Art Human: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Jaime Bustamante lidera litigio, auditorías y preparación inspectiva; tres inspecciones de Secretaría del Trabajo e IMSS concluyeron sin multas según la fuente. 20. </w:t>
      </w:r>
      <w:r>
        <w:rPr>
          <w:b/>
          <w:bCs/>
          <w:i w:val="false"/>
          <w:iCs w:val="false"/>
          <w:sz w:val="22"/>
          <w:szCs w:val="22"/>
        </w:rPr>
        <w:t xml:space="preserve">Grupo Radio Centro: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Jaime Bustamante lidera investigación interna sensible; la fuente reporta prevención de litigio por aproximadamente MXN 750.000.</w:t>
      </w:r>
    </w:p>
    <w:p>
      <w:pPr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3. Individual Ranking Strategy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limitación externa es común y tiene alcance definido: la tabla oficial consultada no encontró coincidencias exactas de persona y firma para Chambers Latin America, Labour &amp; Employment, México. Ello no demuestra que alguna persona carezca de ranking fuera de ese alcance ni establece reconocimiento individual actual.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Eduardo Garduño — presentar como candidato a Individual Band ranking, sin banda numérica.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Partner confirmado y principal candidato individual por la amplitud de mandatos atribuidos: lidera SCHAEFFLER, GeNI, Volkswagen/VW Financial Services, Coats y Benteler, y codirige Cinemex. La evidencia reúne integración post-adquisición, negociación colectiva, conflictos de representatividad, gobierno laboral y litigio nacional de volumen. La candidatura debe concentrarse en SCHAEFFLER, GeNI, Volkswagen/VW Financial Services, Cinemex y Coats, con Benteler como apoyo de estrategia sindical vigente. Su perfil sectorial y experiencia pública complementan, pero no sustituyen, esos mandatos. Conviene contar con referencias que describan liderazgo personal, criterio comercial y servicio; Carlos Rivera no debe figurar en narrativa de equipo salvo identificación y afiliación confirmadas.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Javier Atzin Vallejo — presentar como candidato a Individual Band ranking, sin banda numérica.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Partner confirmado, con liderazgo en Bonatti, Brose, Mextypsa, Nueva Empresa, BADAK y Robert Bosch de México. Su diferenciación es sólida: relaciones colectivas post-reforma, prevención de paralizaciones, arquitectura laboral para infraestructura, litigio constitucional laboral y seguridad social industrial. Bonatti, Brose, Nueva Empresa, BADAK y Robert Bosch de México deben anclar su presentación. Son especialmente útiles referencias que precisen su conducción personal de negociaciones, conciliaciones y decisiones estratégicas.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Jaime Bustamante — presentar como candidato a Individual Band ranking, sin banda numérica.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Partner confirmado y líder de Empresa Tekia, Art Human y Grupo Radio Centro. Los asuntos actuales acreditan litigio laboral complejo, revisión constitucional, auditorías, inspecciones e investigaciones internas sensibles. Su experiencia previa como Legal Director regional de ManpowerGroup fortalece el seniority, pero no sustituye evidencia actual. La candidatura debe focalizarse en TEKIA, Art Human y Grupo Radio Centro y obtener referencias sobre liderazgo en litigio, investigaciones e inspecciones.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José Alberto Díaz Méndez — presentar como Associate to Watch.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Su rol confirmado es Associate. Aunque tres fichas emplean el encabezado “Lead Partner(s)”, la propuesta debe mantenerlo como responsable nombrado del asunto, no como socio. SCOTCH, Grupo Solana y Poliuretanos Summa Woodbridge acreditan REPSE, auditoría de más de 80 proveedores, sustitución patronal para más de 1.200 empleados, reestructuración multicompañía y seguridad social. La categoría es coherente, pero se necesita evidencia más precisa sobre decisiones técnicas, interlocución con cliente y conducción de negociaciones.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Erick Pérez — desarrollar; categoría pendiente.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Associate confirmado y miembro de equipo en Volkswagen/VW Financial Services, Cinemex, Benteler y Securitas. Esta presencia apoya profundidad de equipo, pero no demuestra función jurídica individual, responsabilidad procesal ni resultado atribuible. No procede una candidatura individual concreta hasta documentar su papel sustantivo en dos o tres mandatos.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Andrés Cabrera Gómez — desarrollar; categoría pendiente.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Associate confirmado cuya biografía menciona coordinación regional en Bajío, sin vinculación a un asunto seleccionado con tarea jurídica específica. Puede fortalecer una futura narrativa regional si se documentan dos o tres mandatos de litigio, relaciones colectivas o implementación con responsabilidad personal.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Raymundo Carreño — desarrollar; categoría pendiente.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Su trayectoria previa en Volkswagen de México apoya el perfil institucional, pero su rol actual confirmado es Associate y no hay asuntos actuales personalmente atribuidos. Puede aparecer como senior adviser cuando corresponda, pero no como candidato individual en esta presentación.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Edgar Barreto — desarrollar; categoría pendiente.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Su perfil refiere experiencia en litigio, IMSS, inspecciones y prevención de contingencias, pero no existen mandatos seleccionados con responsabilidad personal demostrada. Una candidatura futura requerirá asuntos actuales, rol definido, alcance, resultado y referencias.</w:t>
      </w:r>
    </w:p>
    <w:p>
      <w:pPr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4. Key Exclusions / Reserves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REGSA es una reserva útil de representatividad sindical, pero Brose, GeNI y Benteler aportan mayor detalle sobre controversia, impacto operativo o resultado. SEBNMX demuestra modernización laboral para aproximadamente 2.000 empleados; SCHAEFFLER añade integración post-adquisición, mayor escala, documentación colectiva y 35 procedimientos activos. American Axle y Omron son reservas pertinentes de gobierno laboral en curso, pero ofrecen menos escala, diferenciación o resultados definidos que los asuntos industriales seleccionados.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Natividad Abogados aporta aproximadamente 45 procedimientos como corresponsal regional, pero no identifica empleadores subyacentes, reclamaciones, estado ni resultados; su caracterización como firma líder no es validación externa. Ramsa, SKF, AUNDE, Corrugados y Empaques de Oriente y Sirushi/Shirushi son mandatos laborales pertinentes, pero contribuyen menos que la cartera seleccionada de relaciones colectivas, carteras nacionales, inspecciones o reestructuración. Grupo DOS carece de definición suficiente de controversia, foro y términos de resolución. Se excluye Private client (Enerflex): el cliente fue el exejecutivo, no Enerflex ni PEMEX; incluirlo sin encuadre separado employee-side produciría una inconsistencia material con el posicionamiento employer-side. Deben preservarse los conceptos monetarios distintos: los valores en USD de Cinemex, Coats, Nueva Empresa, Securitas y Art Human no equivalen a las exposiciones narrativas en MXN; el USD 9.579.844 de Robert Bosch de México no tiene concepto explicado y no debe describirse como ahorro, exposición o valor de transacción.</w:t>
      </w:r>
    </w:p>
    <w:p>
      <w:pPr>
        <w:pBdr>
          <w:bottom w:val="single" w:color="1B365D" w:sz="6"/>
        </w:pBdr>
        <w:spacing w:after="180" w:before="360"/>
      </w:pPr>
      <w:r>
        <w:rPr>
          <w:b/>
          <w:bCs/>
          <w:color w:val="1B365D"/>
          <w:sz w:val="26"/>
          <w:szCs w:val="26"/>
        </w:rPr>
        <w:t xml:space="preserve">5. Actions Before Filing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Confirmar la ventana de investigación aplicable o la actividad relevante de los mandatos continuos seleccionados durante ese periodo.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Completar los contactos, nombre del departamento, número de socios, número de abogados y responsables de práctica para el filing de DeForest Abogados.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Definir referencias de clientes para Eduardo Garduño, Javier Atzin Vallejo, Jaime Bustamante y José Alberto Díaz Méndez, sin atribuir respaldo no confirmado.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RankPilot Strategic Audit - DeForest Abogados</dc:title>
  <dc:creator>RankPilot</dc:creator>
  <cp:lastModifiedBy>Un-named</cp:lastModifiedBy>
  <cp:revision>1</cp:revision>
  <dcterms:created xsi:type="dcterms:W3CDTF">2026-10-08T18:33:16.777Z</dcterms:created>
  <dcterms:modified xsi:type="dcterms:W3CDTF">2026-10-08T18:33:16.777Z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