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Times New Roman" w:cs="Times New Roman" w:eastAsia="Times New Roman" w:hAnsi="Times New Roman"/>
          <w:b/>
          <w:bCs/>
          <w:sz w:val="40"/>
          <w:szCs w:val="40"/>
        </w:rPr>
        <w:t xml:space="preserve">Chambers</w:t>
      </w:r>
    </w:p>
    <w:p>
      <w:pPr>
        <w:spacing w:after="300"/>
        <w:jc w:val="center"/>
      </w:pPr>
      <w:r>
        <w:rPr>
          <w:rFonts w:ascii="Times New Roman" w:cs="Times New Roman" w:eastAsia="Times New Roman" w:hAnsi="Times New Roman"/>
          <w:b/>
          <w:bCs/>
          <w:sz w:val="20"/>
          <w:szCs w:val="20"/>
        </w:rPr>
        <w:t xml:space="preserve">AND PARTNERS</w:t>
      </w:r>
    </w:p>
    <w:p>
      <w:pPr>
        <w:spacing w:after="300"/>
        <w:jc w:val="center"/>
      </w:pPr>
      <w:r>
        <w:rPr>
          <w:rFonts w:ascii="Times New Roman" w:cs="Times New Roman" w:eastAsia="Times New Roman" w:hAnsi="Times New Roman"/>
          <w:b/>
          <w:bCs/>
          <w:sz w:val="24"/>
          <w:szCs w:val="24"/>
        </w:rPr>
        <w:t xml:space="preserve">SUBMISSION FORM</w:t>
      </w:r>
    </w:p>
    <w:p>
      <w:pPr>
        <w:spacing w:after="40"/>
        <w:jc w:val="center"/>
      </w:pPr>
      <w:r>
        <w:rPr>
          <w:rFonts w:ascii="Times New Roman" w:cs="Times New Roman" w:eastAsia="Times New Roman" w:hAnsi="Times New Roman"/>
          <w:b/>
          <w:bCs/>
          <w:sz w:val="18"/>
          <w:szCs w:val="18"/>
        </w:rPr>
        <w:t xml:space="preserve">Please do not alter this submission template.</w:t>
      </w:r>
      <w:r>
        <w:rPr>
          <w:rFonts w:ascii="Times New Roman" w:cs="Times New Roman" w:eastAsia="Times New Roman" w:hAnsi="Times New Roman"/>
          <w:sz w:val="18"/>
          <w:szCs w:val="18"/>
        </w:rPr>
        <w:t xml:space="preserve"> If a question does not apply to you, please leave it blank.</w:t>
      </w:r>
    </w:p>
    <w:p>
      <w:pPr>
        <w:spacing w:after="200"/>
        <w:jc w:val="center"/>
      </w:pPr>
      <w:r>
        <w:rPr>
          <w:rFonts w:ascii="Times New Roman" w:cs="Times New Roman" w:eastAsia="Times New Roman" w:hAnsi="Times New Roman"/>
          <w:b/>
          <w:bCs/>
          <w:i/>
          <w:iCs/>
          <w:sz w:val="18"/>
          <w:szCs w:val="18"/>
        </w:rPr>
        <w:t xml:space="preserve">If something is confidential, mark it as such throughout.</w:t>
      </w:r>
    </w:p>
    <w:p>
      <w:pPr>
        <w:spacing w:after="100"/>
        <w:jc w:val="left"/>
      </w:pPr>
      <w:r>
        <w:rPr>
          <w:rFonts w:ascii="Times New Roman" w:cs="Times New Roman" w:eastAsia="Times New Roman" w:hAnsi="Times New Roman"/>
          <w:sz w:val="18"/>
          <w:szCs w:val="18"/>
        </w:rPr>
        <w:t xml:space="preserve">Please upload submissions online at: https://myaccount.chambers.com</w:t>
      </w:r>
    </w:p>
    <w:p>
      <w:pPr>
        <w:spacing w:after="400"/>
      </w:pPr>
      <w:r>
        <w:rPr>
          <w:rFonts w:ascii="Times New Roman" w:cs="Times New Roman" w:eastAsia="Times New Roman" w:hAnsi="Times New Roman"/>
          <w:sz w:val="18"/>
          <w:szCs w:val="18"/>
        </w:rPr>
        <w:t xml:space="preserve">You will need a username and password to manage your submission and profile. If you do not have an account with Chambers, please onboard here: How to Onboard With Chambers | Chambers and Partners</w:t>
      </w:r>
    </w:p>
    <w:p>
      <w:pPr>
        <w:spacing w:after="200" w:before="300"/>
        <w:jc w:val="center"/>
      </w:pPr>
      <w:r>
        <w:rPr>
          <w:rFonts w:ascii="Times New Roman" w:cs="Times New Roman" w:eastAsia="Times New Roman" w:hAnsi="Times New Roman"/>
          <w:b/>
          <w:bCs/>
          <w:sz w:val="24"/>
          <w:szCs w:val="24"/>
        </w:rPr>
        <w:t xml:space="preserve">A. PRELIMINARY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Firm name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Abogados</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Practice Area</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Labour &amp; Employment</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Location (Jurisdiction)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Mexico</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A4</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Contact person(s) to arrange interviews about this practice area</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p>
      <w:pPr>
        <w:spacing w:after="200" w:before="300"/>
        <w:jc w:val="center"/>
      </w:pPr>
      <w:r>
        <w:rPr>
          <w:rFonts w:ascii="Times New Roman" w:cs="Times New Roman" w:eastAsia="Times New Roman" w:hAnsi="Times New Roman"/>
          <w:b/>
          <w:bCs/>
          <w:sz w:val="24"/>
          <w:szCs w:val="24"/>
        </w:rPr>
        <w:t xml:space="preserve">B. DEPARTMENT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Department name (used by firm)</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partners in the department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other qualified lawyers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B7</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Head or Heads of department</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B8</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Hires / Departures of partners in last 12 months 
(state if they joined or left, and name of the other firm)</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 Departed</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From / Destination (firm)</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260"/>
        <w:gridCol w:w="1000"/>
        <w:gridCol w:w="1000"/>
        <w:gridCol w:w="1600"/>
      </w:tblGrid>
      <w:tr>
        <w:tc>
          <w:tcPr>
            <w:tcW w:type="dxa" w:w="9360"/>
            <w:gridSpan w:val="5"/>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B9</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Information regarding Ranked and Unranked lawyers (including associates) in this practice area.</w:t>
            </w:r>
            <w:r>
              <w:rPr>
                <w:rFonts w:ascii="Times New Roman" w:cs="Times New Roman" w:eastAsia="Times New Roman" w:hAnsi="Times New Roman"/>
                <w:i/>
                <w:iCs/>
                <w:sz w:val="14"/>
                <w:szCs w:val="14"/>
              </w:rPr>
              <w:t xml:space="preserve">
Please do not repeat additional biographical information which is available on your website or via other sources. You may include a link to these biographies.</w:t>
            </w:r>
          </w:p>
        </w:tc>
      </w:tr>
      <w:tr>
        <w:tc>
          <w:tcPr>
            <w:tcW w:type="dxa" w:w="150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42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 or Web Link</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Partner
Y/N</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Ranked
Y/N</w:t>
            </w:r>
          </w:p>
        </w:tc>
        <w:tc>
          <w:tcPr>
            <w:tcW w:type="dxa" w:w="160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b/>
                <w:bCs/>
                <w:sz w:val="14"/>
                <w:szCs w:val="14"/>
              </w:rPr>
              <w:t xml:space="preserve">Current/recent parental leave, significant childcare commitments or other part-time working arrangements, if applicable. For more information, please see our leave policy).</w:t>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garduno@deforest.mx</w:t>
            </w:r>
          </w:p>
          <w:p>
            <w:pPr>
              <w:spacing w:after="40"/>
            </w:pPr>
            <w:r>
              <w:rPr>
                <w:rFonts w:ascii="Times New Roman" w:cs="Times New Roman" w:eastAsia="Times New Roman" w:hAnsi="Times New Roman"/>
                <w:sz w:val="18"/>
                <w:szCs w:val="18"/>
              </w:rPr>
              <w:t xml:space="preserve">Suggested ranking: Individual Band ranking</w:t>
            </w:r>
          </w:p>
          <w:p>
            <w:pPr>
              <w:spacing w:after="80"/>
            </w:pPr>
            <w:r>
              <w:rPr>
                <w:rFonts w:ascii="Times New Roman" w:cs="Times New Roman" w:eastAsia="Times New Roman" w:hAnsi="Times New Roman"/>
                <w:sz w:val="18"/>
                <w:szCs w:val="18"/>
              </w:rPr>
              <w:t xml:space="preserve">Eduardo Garduño is a Partner in DeForest’s Labour &amp; Employment practice. He leads employer-side mandates involving workforce integration, collective labour relations, litigation and workforce governance. He led the labour integration following an automotive-sector acquisition across six Mexican states, standardising employment agreements, collective bargaining agreements, internal regulations, mixed commissions and governance policies for a workforce exceeding 5,000 employees, while related proceedings remain active. He also leads employment litigation and governance work for a major industrial employer in Puebla, with active proceedings involving aggregate exposure approaching MXN 280 million. His collective labour work includes negotiations that prevented a threatened strike in the automotive supply chain, as well as workforce transformation and collective bargaining work across manufacturing facilities in Puebla, Veracruz and Tlaxcala. Eduardo brings more than two decades of experience advising multinational employers and has senior public-sector experience.</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40"/>
            </w:pPr>
            <w:r>
              <w:rPr>
                <w:rFonts w:ascii="Times New Roman" w:cs="Times New Roman" w:eastAsia="Times New Roman" w:hAnsi="Times New Roman"/>
                <w:sz w:val="18"/>
                <w:szCs w:val="18"/>
              </w:rPr>
              <w:t xml:space="preserve">Suggested ranking: Individual Band ranking</w:t>
            </w:r>
          </w:p>
          <w:p>
            <w:pPr>
              <w:spacing w:after="80"/>
            </w:pPr>
            <w:r>
              <w:rPr>
                <w:rFonts w:ascii="Times New Roman" w:cs="Times New Roman" w:eastAsia="Times New Roman" w:hAnsi="Times New Roman"/>
                <w:sz w:val="18"/>
                <w:szCs w:val="18"/>
              </w:rPr>
              <w:t xml:space="preserve">Javier Atzin Vallejo is a Partner whose practice combines labour, social security and regulatory compliance work for industrial and infrastructure businesses. He leads collective labour and workforce-governance mandates, including a union-representation dispute at a manufacturing facility in Querétaro where the firm’s negotiation and litigation strategy prevented work stoppages and avoided escalation under the USMCA Rapid Response Labor Mechanism. He also leads labour governance for major energy infrastructure projects, covering project-specific employment structures, compliance, dispute prevention and workforce demobilisation; the work included more than 20 labour disputes, most resolved through conciliation. Javier has led constitutional labour proceedings resulting in recognition of a company representative’s standing and restoration of the client’s right to defend itself. His current work also includes employment, union and social-security structures for an industrial workforce of approximately 17,000 employees.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40"/>
            </w:pPr>
            <w:r>
              <w:rPr>
                <w:rFonts w:ascii="Times New Roman" w:cs="Times New Roman" w:eastAsia="Times New Roman" w:hAnsi="Times New Roman"/>
                <w:sz w:val="18"/>
                <w:szCs w:val="18"/>
              </w:rPr>
              <w:t xml:space="preserve">Suggested ranking: Individual Band ranking</w:t>
            </w:r>
          </w:p>
          <w:p>
            <w:pPr>
              <w:spacing w:after="80"/>
            </w:pPr>
            <w:r>
              <w:rPr>
                <w:rFonts w:ascii="Times New Roman" w:cs="Times New Roman" w:eastAsia="Times New Roman" w:hAnsi="Times New Roman"/>
                <w:sz w:val="18"/>
                <w:szCs w:val="18"/>
              </w:rPr>
              <w:t xml:space="preserve">Jaime Bustamante is a Partner advising employers on employment disputes, compliance investigations, labour inspections and workforce governance. He leads a coordinated litigation, constitutional-review and negotiation strategy for a technology and engineering business facing proceedings with potential exposure approaching MXN 16 million, including negotiations relating to two adverse judgments valued at approximately MXN 6.5 million. He also leads labour litigation, audit and inspection-readiness work for a financial-services business, where three Ministry of Labor and IMSS inspections concluded without fines despite combined potential exposure approaching MXN 2 million. Jaime has led a sensitive internal employment investigation involving allegations against a senior executive, coordinating evidence gathering, legal analysis and decision-making; the process prevented litigation valued at approximately MXN 750,000. Before joining DeForest, he served as Legal Director for Mexico, Central and South America at ManpowerGroup.</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40"/>
            </w:pPr>
            <w:r>
              <w:rPr>
                <w:rFonts w:ascii="Times New Roman" w:cs="Times New Roman" w:eastAsia="Times New Roman" w:hAnsi="Times New Roman"/>
                <w:sz w:val="18"/>
                <w:szCs w:val="18"/>
              </w:rPr>
              <w:t xml:space="preserve">Suggested ranking: Associate to Watch</w:t>
            </w:r>
          </w:p>
          <w:p>
            <w:pPr>
              <w:spacing w:after="80"/>
            </w:pPr>
            <w:r>
              <w:rPr>
                <w:rFonts w:ascii="Times New Roman" w:cs="Times New Roman" w:eastAsia="Times New Roman" w:hAnsi="Times New Roman"/>
                <w:sz w:val="18"/>
                <w:szCs w:val="18"/>
              </w:rPr>
              <w:t xml:space="preserve">José Alberto Díaz Méndez is an Associate working on labour, social security and regulatory restructuring matters. He is named as matter lead on a multidisciplinary REPSE mandate involving review of a corporate structure, specialised-services model, bylaws and registration, together with an audit of more than 80 suppliers. He is also named on an employer-substitution process for a diversified group employing more than 1,200 people, where the legal strategy reactivated a cancelled employer registration and enabled the transition without disrupting operations. His work further includes a restructuring affecting approximately eight companies across multiple Mexican states, involving a specialised-services entity, employer substitutions, workforce transition and parallel social-security litigation concerning tax assessments at two manufacturing facilities.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Erick Pérez</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Erick Pérez is an Associate in DeForest’s Labour &amp; Employment practice. He is listed as a team member on employer-side mandates involving active industrial litigation portfolios, nationwide employment proceedings and union-representation strategy.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Andrés Cabrera Gómez</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Andrés Cabrera Gómez is an Associate who leads the firm’s Labour &amp; Employment practice in the Bajío region. His profile focuses on regional implementation and litigation coordination in jurisdictions adapting to the post-reform judicial system.</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Raymundo Carreño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Raymundo Carreño is an Associate with nearly four decades of experience at a confidential client, including service as General Legal Director. His background includes corporate labour relations, regulatory transitions, union negotiations and organisational restructurings in the automotive sector.</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Edgar Barreto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Edgar Barreto is an Associate with more than two decades of experience in labour litigation, social security and internal governance for large-scale employers. His profile includes IMSS processes, inspection frameworks, documentation harmonisation and preventive contingency management.</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B10</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What is this department best known for?
Please include: industry sector expertise; key types of work; areas of recent growth.
Address any feedback on our recent coverage of your department (500 word count limit)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DeForest’s Labour &amp; Employment practice advises employers whose workforce stability is fundamental to business continuity. The team combines labour advisory, litigation, collective labour relations, social security, compliance and workforce governance for multinational and domestic companies operating throughout Mexico.</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practice supports the full employment lifecycle, from day-to-day advice and preventive documentation to collective bargaining, workforce restructurings, labour and social-security audits, inspections, constitutional proceedings and litigation portfolios. Its work is concentrated in labour-intensive and regulated sectors, including automotive and advanced manufacturing, infrastructure, energy, logistics, retail, technology, telecommunications and financial services.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department is led by Eduardo Garduño, with Javier Atzin Vallejo and Jaime Bustamante as Partners. The wider team includes José Alberto Díaz Méndez, Andrés Cabrera Gómez, Raymundo Carreño, Edgar Barreto and Erick Pérez. Their combined experience supports collective labour strategy, compliance, social security, litigation and regional implementation.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Representative work includes post-acquisition labour integration across six Mexican states for more than 5,000 employees; collective bargaining and union-representation matters involving strike-prevention strategy; nationwide litigation portfolios; workforce restructurings; and labour and social-security governance for industrial operations. The practice also manages approximately 700 labour disputes through its Puebla team and has assisted more than 20 clients in Ministry of Labor inspections during the last 12 months.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If you have used barristers / advocates in the UK, Australia, Hong Kong, India, Malaysia, New Zealand or Sri Lanka please provide the information below (Optional)</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Barrister/advocate 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Firm / Set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Feedback on our coverage of this practice area (Optional)</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requests consideration for coverage in Labour &amp; Employment in Mexico. The practice presents employer-side work across the areas most central to workforce continuity in labour-intensive operations: collective bargaining and union-representation disputes, post-acquisition integration, workforce restructuring, employment litigation, constitutional labour procedure, labour inspections, social security and preventive governance.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team has implemented a post-acquisition labour integration across six Mexican states for more than 5,000 employees; designed collective bargaining and union-representation strategies that prevented work stoppages; coordinated nationwide litigation portfolios involving approximately 200 active proceedings; and managed workforce governance for industrial operations employing approximately 17,000 people. Its work also includes employer substitutions, REPSE and specialised-services compliance, labour and social-security inspections, and multi-state collective bargaining.</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practice is led by Eduardo Garduño, Javier Atzin Vallejo and Jaime Bustamante, with Associate-level contribution from José Alberto Díaz Méndez and other team members on significant employer mandates. This combination of collective labour capability, contentious experience, compliance work and multi-jurisdictional implementation warrants consideration for coverage.</w:t>
            </w:r>
          </w:p>
        </w:tc>
      </w:tr>
    </w:tbl>
    <w:p>
      <w:r>
        <w:br w:type="page"/>
      </w:r>
    </w:p>
    <w:p>
      <w:pPr>
        <w:spacing w:after="100" w:before="200"/>
        <w:jc w:val="center"/>
      </w:pPr>
      <w:r>
        <w:rPr>
          <w:rFonts w:ascii="Times New Roman" w:cs="Times New Roman" w:eastAsia="Times New Roman" w:hAnsi="Times New Roman"/>
          <w:b/>
          <w:bCs/>
          <w:sz w:val="24"/>
          <w:szCs w:val="24"/>
        </w:rPr>
        <w:t xml:space="preserve">D. PUBLISHABLE INFORMATION</w:t>
      </w:r>
    </w:p>
    <w:p>
      <w:pPr>
        <w:spacing w:after="200"/>
      </w:pPr>
      <w:r>
        <w:rPr>
          <w:rFonts w:ascii="Times New Roman" w:cs="Times New Roman" w:eastAsia="Times New Roman" w:hAnsi="Times New Roman"/>
          <w:i/>
          <w:iCs/>
          <w:sz w:val="16"/>
          <w:szCs w:val="16"/>
        </w:rPr>
        <w:t xml:space="preserve">All information in section 'D' is considered PUBLISHABLE. Do not include any confidential information in this section. Confidential information can be included in section 'E'. Information in section 'D' may be printed in Chambers and Partners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D0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PUBLISHABLE CLIENTS – List of this department's PUBLISHABLE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SCOTCH</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SCOTCH</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advised SCOTCH on restructuring its corporate and labour framework following the introduction of Mexico’s specialised-services regime. José Alberto Díaz Méndez is named as matter lead; his confirmed firm role is Associate.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Working across the corporate and labour practices, the firm reviewed the corporate structure, specialised-services model, bylaws and REPSE registration. It also audited more than 80 suppliers to determine the regulatory treatment of specialised-services agreements.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 — lead lawyer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p>
      <w:pPr>
        <w:spacing w:after="100" w:before="200"/>
        <w:jc w:val="center"/>
      </w:pPr>
      <w:r>
        <w:rPr>
          <w:rFonts w:ascii="Times New Roman" w:cs="Times New Roman" w:eastAsia="Times New Roman" w:hAnsi="Times New Roman"/>
          <w:b/>
          <w:bCs/>
          <w:sz w:val="24"/>
          <w:szCs w:val="24"/>
        </w:rPr>
        <w:t xml:space="preserve">E. CONFIDENTIAL INFORMATION</w:t>
      </w:r>
    </w:p>
    <w:p>
      <w:pPr>
        <w:spacing w:after="200"/>
      </w:pPr>
      <w:r>
        <w:rPr>
          <w:rFonts w:ascii="Times New Roman" w:cs="Times New Roman" w:eastAsia="Times New Roman" w:hAnsi="Times New Roman"/>
          <w:i/>
          <w:iCs/>
          <w:sz w:val="16"/>
          <w:szCs w:val="16"/>
        </w:rPr>
        <w:t xml:space="preserve">All information in section 'E' is considered CONFIDENTIAL and NOT FOR PUBLICATION. Information in this section will only be used for our internal ranking purposes. If any part of a matter is confidential it should be included in this section 'E' not section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E0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CONFIDENTIAL CLIENTS – List of this department's CONFIDENTIAL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SCHAEFFLER</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Bonatti SpA, Bonatti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Brose México,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4</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GeNI de México,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5</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Volkswagen de México and VW Financial Services</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6</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Cinemex</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7</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Coats de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8</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Poliuretanos Summa Woodbridge (PSW)</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9</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Mextypsa,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10</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Benteler</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Recicla Ambiente,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Robert Bosch de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Nueva Empresa, S.C.</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14</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BADAK</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15</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Empresa Tekia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16</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Solana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17</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Securitas de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18</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Art Human</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19</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Radio Centro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SCHAEFFLER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advised a global automotive supplier following its acquisition of another automotive business on the labour integration of facilities in Puebla, Estado de México, Guanajuato, Jalisco, Morelos and Chihuahua. Eduardo Garduño led the mandate.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designed and implemented the integration strategy, standardising employment agreements, collective bargaining agreements, internal regulations, mixed commissions and labour-governance policies for a workforce exceeding 5,000 employees. The team also manages 35 active labour proceedings involving suppliers and former employees in alignment with the client’s post-acquisition governance model.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Ana Ruiz.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Bonatti SpA, Bonatti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acts for an energy-infrastructure contractor on labour governance across major Mexican energy projects, including the Energía Mayakan Pipeline Expansion, valued at more than USD 2 billion, and the Cuxtal II expansion, valued at USD 2.5 billion. Javier Atzin Vallejo leads the ongoing mandate.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designed and implemented workforce documentation, project-specific employment structures, compliance programmes, dispute-prevention measures and demobilisation processes. It managed more than 20 labour disputes, resolving the overwhelming majority through conciliation and reporting an approximately 80% reduction in potential financial exposure. The team also prevented an imminent strike affecting strategic energy infrastructure.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252,000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Barrón.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Brose México,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represents a manufacturer in a sensitive collective labour dispute concerning ownership of the collective bargaining agreement at a Querétaro manufacturing facility. Javier Atzin Vallejo leads the ongoing matter.</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designed and implemented negotiation and litigation strategy for the union-representation proceedings. Through proactive dialogue and procedural management, the team prevented work stoppages and avoided escalation under the USMCA Rapid Response Labor Mechanism while preserving operations.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GeNI de México,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represented an automotive supply-chain company facing an imminent strike risk arising from deteriorating relations with its union. Eduardo Garduño was identified as one of the lead partners on the ongoing matter.</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led collective bargaining negotiations, rebuilt dialogue between management and union representatives, and designed a renewed agreement balancing operational efficiency and employee expectations. The negotiations prevented the strike and preserved uninterrupted production for the company’s automotive customers.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 and Carlos Rivera.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Volkswagen de México and VW Financial Services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acts for a major industrial employer and its financial-services affiliate on labour litigation and workforce governance in Puebla. Eduardo Garduño leads the ongoing mandate, supported by José Alberto Díaz, Erick Pérez and other team members.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manages active labour proceedings involving aggregate exposure approaching MXN 280 million, while advising on employment agreements, internal workplace regulations, disciplinary procedures, corporate powers of attorney and broader workforce-governance initiatives. The engagement integrates contentious and preventive employment work for a manufacturing environment in which workforce stability is operationally significant.</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Ana Ruiz, 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6</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Cinemex</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coordinates nationwide employment litigation and preventive labour advice for a cinema operator with more than 11,000 employees. Eduardo Garduño and another named lead partner lead the ongoing mandate; Erick Pérez is listed as a team member.</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coordinates approximately 200 active labour proceedings with aggregate exposure exceeding MXN 60.5 million. It also leads conciliations, advises on workforce restructurings, strengthens employment documentation and refines preventive governance measures across the client’s nationwide operations.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553,278.59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 and Fernanda Priego.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7</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Coats de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advises a manufacturer on a workforce transformation spanning facilities in Puebla, Veracruz and Tlaxcala. Eduardo Garduño leads the ongoing mandate, with José Alberto Díaz and another team member supporting.</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developed employment agreements, labour policies, collective bargaining documentation and workforce-governance protocols. It also negotiated union matters involving exposure exceeding MXN 12.5 million and led collective bargaining discussions that enabled the client to preserve operational stability during the restructuring.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675,000.00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and Maximiliano Hernández.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8</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Poliuretanos Summa Woodbridge (PSW)</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advises an automotive-technology supplier on a restructuring affecting approximately eight companies across multiple Mexican states. José Alberto Díaz Méndez is named as matter lead; his confirmed firm role is Associate.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developed the legal strategy for the separation of business functions, creation of a specialised-services entity, employer-substitution processes, redesign of corporate purposes and workforce transition across multiple operating companies. It also represents the client in ongoing social-security litigation before the Federal Court of Administrative Justice challenging tax assessments relating to two manufacturing facilities.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 — lead lawyer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Mextypsa,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advises an engineering and infrastructure company on workforce governance for major projects, including the Guadalajara Metro Line 4 Project, a USD 552 million development. Javier Atzin Vallejo leads the ongoing mandate.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team designed contractual and compliance architecture for the project, supervised workforce demobilisation and handled labour litigation arising from a wind-farm project. Through constitutional proceedings, it successfully challenged an adverse labour judgment, restoring the client’s procedural rights and reopening the litigation. The firm currently manages more than 20 labour disputes with aggregate exposure of approximately MXN 21.5 million.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1,144,523.00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Barron and Roberto López Hernández.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Benteler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represents an automotive supplier in an ongoing union-representativeness dispute at a Puebla manufacturing facility. Eduardo Garduño leads the mandate, supported by José Alberto Díaz, Erick Pérez and another team member.</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firm’s response combines litigation, collective bargaining strategy and continuing negotiations with competing unions. Alongside the representation proceedings, the team is implementing employment agreements, internal labour policies and collective bargaining documentation to support the client’s continuing labour-governance framework.</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Recicla Ambiente,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advises a waste-management company with approximately 700 employees across multiple Mexican states on labour governance, collective bargaining and union negotiations. Eduardo Garduño leads the mandate.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team coordinates employment strategy and negotiations with different unions in Puebla, Querétaro, Silao, Aguascalientes, Ramos Arizpe and Apodaca, adapting the approach to local operational requirements while maintaining a coordinated employment framework.</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Robert Bosch de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advises a major industrial employer with approximately 17,000 employees across multiple business divisions on labour governance, union-related matters and social-security structures. Javier Atzin Vallejo leads the ongoing mandate, with José Alberto Díaz listed as a team member.</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designs and implements employment documentation, disciplinary procedures and labour-governance policies; leads employer-registration processes for a group entity; and coordinates social-security structures across the organisation.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US$ 9,579,844.00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Nueva Empresa, S.C.</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represents an employer in two wrongful-termination proceedings involving a challenge to the legal standing of the company’s attorney-in-fact. Javier Atzin Vallejo leads the ongoing matter.</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brought constitutional amparo proceedings after the labour court declined to recognise the representative’s standing and disregarded the company’s defence. A Collegiate Court granted constitutional relief, ordered recognition of the attorney’s legal standing and restored the client’s right to present its defence. The financial exposure was approximately MXN 3 million.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171,494.21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Barrón.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BADAK</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acts for a technology consultancy in several wrongful-termination claims with aggregate exposure exceeding MXN 1.5 million. Javier Atzin Vallejo leads the matter.</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combined constitutional litigation, procedural strategy and settlement negotiations. It reduced one principal claim from approximately MXN 1.06 million to MXN 20,000, a reported reduction of approximately 98%, while continuing to manage the remaining proceedings.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Empresa Tekia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represents a technology and engineering company in complex legacy employment litigation. Jaime Bustamante leads the ongoing mandate.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designed a coordinated strategy for proceedings with potential exposure approaching MXN 16 million, negotiations relating to two adverse labour judgments valued at approximately MXN 6.5 million, and a constitutional amparo challenging the reasoning behind one of those decisions. The work integrates litigation, constitutional review and settlement negotiations to contain overall risk.</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16</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Solana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advised a diversified automotive and real-estate group employing more than 1,200 people on an employer-substitution process affecting its workforce structure. José Alberto Díaz Méndez is named as matter lead; his confirmed firm role is Associate.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designed and executed the strategy to reactivate a cancelled employer registration, allowing the substitution process to proceed without disrupting operations. It coordinated the labour transition and compliance work while preserving workforce stability throughout the restructuring.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 — lead lawyer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17</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Securitas de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manages labour litigation and preventive employment work for a private-security employer operating across Puebla, Mexico City, Torreón and Veracruz. Eduardo Garduño leads the mandate, with Erick Pérez listed as a team member.</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manages more than 50 labour proceedings with aggregate exposure approaching MXN 10 million, while advising on employment documentation, governance and risk mitigation. Its coordinated approach combines litigation management with preventive advice for a geographically dispersed workforce.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577,978.00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Maximiliano Hernández and Erick Pérez.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18</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Art Human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acts as external labour counsel to a financial-services company on litigation management, audits, internal controls and employment procedures. Jaime Bustamante leads the ongoing mandate.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firm’s preventive governance work included labour and social-security inspection readiness. Three inspections by the Ministry of Labor and IMSS concluded without fines, despite combined potential exposure approaching MXN 2 million.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104,000,000.45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Radio Centro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advised a media organisation on a sensitive internal employment investigation concerning allegations against a senior executive. Jaime Bustamante leads the ongoing mandate.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designed and supervised the investigation, coordinating evidence gathering, legal analysis and decision-making in accordance with applicable employment standards. The process prevented litigation valued at approximately MXN 750,000 while addressing significant reputational sensitivity.</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US$40,000.00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jc w:val="center"/>
    </w:pPr>
    <w:r>
      <w:rPr>
        <w:rFonts w:ascii="Times New Roman" w:cs="Times New Roman" w:eastAsia="Times New Roman" w:hAnsi="Times New Roman"/>
        <w:b/>
        <w:bCs/>
        <w:sz w:val="16"/>
        <w:szCs w:val="16"/>
      </w:rPr>
      <w:t xml:space="preserve">Please upload completed submissions online at https://myaccount.chambers.com</w:t>
    </w:r>
  </w:p>
  <w:p>
    <w:pPr>
      <w:spacing w:after="80"/>
      <w:jc w:val="center"/>
    </w:pPr>
    <w:r>
      <w:rPr>
        <w:rFonts w:ascii="Times New Roman" w:cs="Times New Roman" w:eastAsia="Times New Roman" w:hAnsi="Times New Roman"/>
        <w:sz w:val="14"/>
        <w:szCs w:val="14"/>
      </w:rPr>
      <w:t xml:space="preserve">You will need a username and password to manage your submission and profile.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rFonts w:ascii="Times New Roman" w:cs="Times New Roman" w:eastAsia="Times New Roman" w:hAnsi="Times New Roman"/>
        <w:color w:val="888888"/>
        <w:sz w:val="14"/>
        <w:szCs w:val="14"/>
      </w:rPr>
      <w:t xml:space="preserve">Ref: PAB006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pPr>
    <w:rPr>
      <w:rFonts w:ascii="Times New Roman" w:cs="Times New Roman" w:eastAsia="Times New Roman" w:hAnsi="Times New Roman"/>
      <w:sz w:val="20"/>
      <w:szCs w:val="20"/>
    </w:rPr>
  </w:style>
  <w:style w:type="paragraph" w:styleId="Heading1">
    <w:name w:val="Heading 1"/>
    <w:basedOn w:val="Normal"/>
    <w:next w:val="Normal"/>
    <w:pPr>
      <w:spacing w:after="200" w:before="30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Chambers Submission - DeForest Abogados - Labour &amp; Employment</dc:title>
  <dc:creator>RankPilot 2026</dc:creator>
  <dc:description>Chambers &amp; Partners submission form for DeForest Abogados in Labour &amp; Employment</dc:description>
  <cp:lastModifiedBy>Un-named</cp:lastModifiedBy>
  <cp:revision>1</cp:revision>
  <dcterms:created xsi:type="dcterms:W3CDTF">2026-10-08T18:33:16.677Z</dcterms:created>
  <dcterms:modified xsi:type="dcterms:W3CDTF">2026-10-08T18:33:16.677Z</dcterms:modified>
</cp:coreProperties>
</file>

<file path=docProps/custom.xml><?xml version="1.0" encoding="utf-8"?>
<Properties xmlns="http://schemas.openxmlformats.org/officeDocument/2006/custom-properties" xmlns:vt="http://schemas.openxmlformats.org/officeDocument/2006/docPropsVTypes"/>
</file>