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DeForest Abogados</w:t>
      </w:r>
    </w:p>
    <w:p>
      <w:pPr>
        <w:spacing w:after="80"/>
      </w:pPr>
      <w:r>
        <w:rPr>
          <w:b/>
          <w:bCs/>
          <w:sz w:val="22"/>
          <w:szCs w:val="22"/>
        </w:rPr>
        <w:t xml:space="preserve">Practice: </w:t>
      </w:r>
      <w:r>
        <w:rPr>
          <w:sz w:val="22"/>
          <w:szCs w:val="22"/>
        </w:rPr>
        <w:t xml:space="preserve">Labour &amp; Employment</w:t>
      </w:r>
    </w:p>
    <w:p>
      <w:pPr>
        <w:spacing w:after="60"/>
      </w:pPr>
      <w:r>
        <w:rPr>
          <w:b w:val="false"/>
          <w:bCs w:val="false"/>
          <w:i w:val="false"/>
          <w:iCs w:val="false"/>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Veredicto ejecutivo: presentar una candidatura de primera inclusión en Chambers Latin America: Labour &amp; Employment — Mexico; no procede hablar de subida de bandas. La comprobación oficial acotada no halló una coincidencia exacta de DeForest en la tabla de Labour &amp; Employment México, sin acreditar ausencia de reconocimiento en otros alcances ni permitir prever una banda. La propuesta muestra una práctica employer-side coherente en integración post-adquisición, relaciones colectivas, prevención de paros, litigación de cartera, reestructuraciones, cumplimiento laboral y seguridad social. SCHAEFFLER es el hero: frente a Volkswagen, que acredita cartera y gobernanza continuada, combina una integración definida tras adquisición, armonización laboral y colectiva en seis estados para más de 5.000 empleados, 35 procedimientos activos y liderazgo atribuido a Eduardo Garduño. La descripción institucional incorporada en B10 añade que la práctica asesora a empleadores con una fuerza laboral combinada superior a un millón de empleados, que el equipo de Puebla gestiona aproximadamente 700 controversias laborales y que, durante los últimos doce meses, asistió a más de 20 clientes en inspecciones laborales. Tres perfiles oficiales recuperados de Band 5 muestran como contexto capacidades de negociación colectiva, litigios individuales y colectivos, seguridad social y asesoría no contenciosa, pero no aportan calibración completa ni posición comparativa. La recomendación pendiente es confirmar una sola vez que los asuntos seleccionados reflejan actividad relevante en la ventana de investigación; la evidencia individual se concentra en Eduardo Garduño, Javier Atzin Vallejo, Jaime Bustamante y José Alberto Díaz Méndez.</w:t>
      </w:r>
    </w:p>
    <w:p>
      <w:pPr>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Cartera recomendada, en orden estratégico: 1. SCHAEFFLER — hero: Eduardo Garduño lideró la integración post-adquisición de más de 5.000 empleados en seis estados, con armonización de contratos, convenios colectivos, reglamentos, comisiones mixtas y políticas, y 35 procedimientos activos. 2. Brose México: Javier Atzin Vallejo dirigió estrategia de negociación y litigio en controversia de representatividad sindical; la fuente atribuye prevención de paros y de escalamiento bajo el Mecanismo Laboral de Respuesta Rápida del T-MEC. 3. GeNI de México: Eduardo Garduño y Carlos Rivera lideraron negociación colectiva ante huelga inminente; la fuente atribuye prevención de la huelga y continuidad productiva. 4. Volkswagen de México y VW Financial Services: Eduardo Garduño lidera procedimientos activos y asesoría sobre contratos, reglamentos, disciplina, poderes y gobernanza. 5. Cinemex: Eduardo Garduño y Fernanda Priego codirigen aproximadamente 200 procedimientos activos, conciliaciones, reestructuraciones y prevención; Erick Pérez integra el equipo. 6. Poliuretanos Summa Woodbridge: José Alberto Díaz Méndez figura como responsable de una reestructuración de aproximadamente ocho compañías, entidad de servicios especializados, sustituciones patronales, transición de plantilla y litigio de seguridad social. 7. Coats de México: Eduardo Garduño lidera transformación multisede, documentación laboral y colectiva y negociaciones sindicales que, según la fuente, preservaron estabilidad operativa. 8. Bonatti, mandato confidencial de infraestructura energética: Javier Atzin Vallejo lidera arquitectura laboral, prevención de controversias y desmovilización; la fuente atribuye prevención de huelga inminente, gestión de más de 20 controversias, resolución de la gran mayoría mediante conciliación y una reducción aproximada del 80% de la exposición potencial. El valor del litigio es aproximadamente USD 252.000, distinto de los proyectos Energía Mayakan Pipeline Expansion, de más de USD 2.000 millones, y Cuxtal II, de USD 2.500 millones. 9. Benteler: Eduardo Garduño lidera respuesta a controversia de representatividad sindical mediante litigio, estrategia colectiva y negociación con sindicatos competidores. 10. Mextypsa, mandato confidencial de ingeniería e infraestructura: Javier Atzin Vallejo lidera la estructuración contractual y de cumplimiento para Guadalajara Metro Line 4, proyecto de USD 552 millones, así como la desmovilización; en un litigio separado relativo a un parque eólico, el amparo reabrió el litigio. La fuente diferencia el valor confirmado de la materia, USD 1.144.523,00, de una responsabilidad amenazada superior a MXN 5,5 millones en ese litigio y de la exposición agregada aproximada de MXN 21,5 millones en más de 20 controversias. 11. Nueva Empresa: Javier Atzin Vallejo lidera amparo en el que un Tribunal Colegiado concedió protección, reconoció legitimación y restituyó defensa. 12. BADAK: Javier Atzin Vallejo lidera litigio constitucional, estrategia procesal y negociación; la fuente informa reducción de aproximadamente MXN 1,06 millones a MXN 20.000. 13. Grupo Solana: José Alberto Díaz Méndez figura como responsable en sustitución patronal para más de 1.200 personas, con reactivación de registro patronal y transición sin interrupción. 14. SCOTCH: único asunto publicable; José Alberto Díaz Méndez figura como responsable de revisión REPSE, estructura corporativa y auditoría de más de 80 proveedores. 15. Robert Bosch de México: Javier Atzin Vallejo lidera documentación, disciplina, asuntos sindicales, registros patronales y estructuras de seguridad social para aproximadamente 17.000 empleados. 16. Recicla Ambiente: Eduardo Garduño lidera asesoría laboral, negociación colectiva y sindical en seis localidades para aproximadamente 700 empleados. 17. SEBNMX: Eduardo Garduño lidera actualización de reglamentos, contratos, políticas y comisiones mixtas para aproximadamente 2.000 empleados. 18. REGSA: Eduardo Garduño lidera documentación laboral, negociación colectiva y representatividad sindical. 19. Art Human: Jaime Bustamante lidera cartera, auditorías y controles; tres inspecciones de STPS e IMSS concluyeron sin multas. 20. Grupo Radio Centro: Jaime Bustamante lidera investigación laboral interna sensible; la fuente atribuye prevención de litigio. Los valores de asuntos confidenciales pueden incluirse en las respuestas de la sección confidencial, conservando cada concepto económico y moneda; la prosa pública debe omitir esos detalles.</w:t>
      </w:r>
    </w:p>
    <w:p>
      <w:pPr>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 limitación común: la búsqueda individual oficial acotada no encontró coincidencias exactas en la tabla de Chambers Labour &amp; Employment México; no demuestra ausencia de reconocimiento en otras prácticas o ediciones. Las categorías son objetivos de candidatura, no reconocimientos establecidos ni previsiones.</w:t>
      </w:r>
    </w:p>
    <w:p>
      <w:pPr>
        <w:spacing w:after="60"/>
      </w:pPr>
      <w:r>
        <w:rPr>
          <w:b w:val="false"/>
          <w:bCs w:val="false"/>
          <w:i w:val="false"/>
          <w:iCs w:val="false"/>
          <w:sz w:val="22"/>
          <w:szCs w:val="22"/>
        </w:rPr>
        <w:t xml:space="preserve">Eduardo Garduño — candidato individual principal, objetivo Band 5. Es socio y concentra la atribución más amplia: lidera SCHAEFFLER, GeNI, Volkswagen, Coats, REGSA, SEBNMX y Recicla Ambiente, y codirige Cinemex. La candidatura debe centrarse en integración post-adquisición, relaciones colectivas de alto riesgo, litigación de cartera y gobernanza industrial. El objetivo Band 5 se conserva por seniority y reiteración de liderazgo, sin afirmar ranking actual. Deben obtenerse referencias sobre liderazgo, negociación y servicio continuado.</w:t>
      </w:r>
    </w:p>
    <w:p>
      <w:pPr>
        <w:spacing w:after="60"/>
      </w:pPr>
      <w:r>
        <w:rPr>
          <w:b w:val="false"/>
          <w:bCs w:val="false"/>
          <w:i w:val="false"/>
          <w:iCs w:val="false"/>
          <w:sz w:val="22"/>
          <w:szCs w:val="22"/>
        </w:rPr>
        <w:t xml:space="preserve">Javier Atzin Vallejo — segundo candidato individual, objetivo Band 5. Es socio; por ello, la sugerencia previa de Associate to Watch se sustituyó correctamente por una candidatura de socio. Su prueba diferenciada comprende Brose, dos mandatos confidenciales de infraestructura y energía, Nueva Empresa, BADAK y Bosch. Debe posicionarse en relaciones colectivas, prevención de paros, litigación constitucional laboral, proyectos industriales y seguridad social. Faltan referencias y confirmación de actividad dentro de la ventana aplicable.</w:t>
      </w:r>
    </w:p>
    <w:p>
      <w:pPr>
        <w:spacing w:after="60"/>
      </w:pPr>
      <w:r>
        <w:rPr>
          <w:b w:val="false"/>
          <w:bCs w:val="false"/>
          <w:i w:val="false"/>
          <w:iCs w:val="false"/>
          <w:sz w:val="22"/>
          <w:szCs w:val="22"/>
        </w:rPr>
        <w:t xml:space="preserve">Jaime Bustamante — candidato de apoyo, objetivo Band 5. Es socio y lidera Art Human y Grupo Radio Centro, con evidencia de compliance preventivo, inspecciones, investigaciones internas y gestión de riesgo. Puede presentarse, pero su caso individual es menos fuerte en relaciones colectivas que los dos candidatos principales. Benteler y Poliuretanos Summa Woodbridge no deben usarse como prueba de su liderazgo: las fuentes atribuyen esos mandatos a Eduardo Garduño y José Alberto Díaz Méndez, respectivamente. Requiere más referencias y mandatos core personalmente atribuidos.</w:t>
      </w:r>
    </w:p>
    <w:p>
      <w:pPr>
        <w:spacing w:after="60"/>
      </w:pPr>
      <w:r>
        <w:rPr>
          <w:b w:val="false"/>
          <w:bCs w:val="false"/>
          <w:i w:val="false"/>
          <w:iCs w:val="false"/>
          <w:sz w:val="22"/>
          <w:szCs w:val="22"/>
        </w:rPr>
        <w:t xml:space="preserve">José Alberto Díaz Méndez — candidato Associate to Watch. Su rol confirmado es Associate; debe describirse como associate lead o responsable, nunca como socio aunque el campo fuente diga “Lead Partner(s)”. Sus mandatos sustantivos son SCOTCH, Grupo Solana y Poliuretanos Summa Woodbridge, además de participación de equipo en Volkswagen y Bosch. La categoría es congruente con trabajo en REPSE, sustitución patronal, transición de plantilla y seguridad social. Debe documentarse su función técnica concreta y obtener referencias de clientes.</w:t>
      </w:r>
    </w:p>
    <w:p>
      <w:pPr>
        <w:spacing w:after="60"/>
      </w:pPr>
      <w:r>
        <w:rPr>
          <w:b w:val="false"/>
          <w:bCs w:val="false"/>
          <w:i w:val="false"/>
          <w:iCs w:val="false"/>
          <w:sz w:val="22"/>
          <w:szCs w:val="22"/>
        </w:rPr>
        <w:t xml:space="preserve">Erick Pérez — desarrollar, sin candidatura formal. Es Associate y figura como integrante del equipo en Volkswagen, Cinemex y Benteler, pero no se le atribuyen dirección de audiencia, estrategia, negociación ni responsabilidad autónoma. Una eventual candidatura Associate to Watch exige roles personales repetidos y verificables.</w:t>
      </w:r>
    </w:p>
    <w:p>
      <w:pPr>
        <w:spacing w:after="60"/>
      </w:pPr>
      <w:r>
        <w:rPr>
          <w:b w:val="false"/>
          <w:bCs w:val="false"/>
          <w:i w:val="false"/>
          <w:iCs w:val="false"/>
          <w:sz w:val="22"/>
          <w:szCs w:val="22"/>
        </w:rPr>
        <w:t xml:space="preserve">Andrés Cabrera — desarrollar. Es Associate; la bio menciona trabajo contencioso, pero no hay asunto core atribuido. No procede candidatura hasta contar con dos o tres mandatos relevantes que identifiquen función, etapa procesal o resultado.</w:t>
      </w:r>
    </w:p>
    <w:p>
      <w:pPr>
        <w:spacing w:after="60"/>
      </w:pPr>
      <w:r>
        <w:rPr>
          <w:b w:val="false"/>
          <w:bCs w:val="false"/>
          <w:i w:val="false"/>
          <w:iCs w:val="false"/>
          <w:sz w:val="22"/>
          <w:szCs w:val="22"/>
        </w:rPr>
        <w:t xml:space="preserve">Raymundo Carreño — desarrollar. Es Associate. La experiencia previa puede reforzar su bio, pero no sustituye trabajo actual personalmente atribuido. No tiene mandatos core a su nombre; una candidatura Associate to Watch requiere evidencia contemporánea.</w:t>
      </w:r>
    </w:p>
    <w:p>
      <w:pPr>
        <w:spacing w:after="60"/>
      </w:pPr>
      <w:r>
        <w:rPr>
          <w:b w:val="false"/>
          <w:bCs w:val="false"/>
          <w:i w:val="false"/>
          <w:iCs w:val="false"/>
          <w:sz w:val="22"/>
          <w:szCs w:val="22"/>
        </w:rPr>
        <w:t xml:space="preserve">Edgar Barreto — desarrollar. Es Associate y su perfil es coherente con litigación laboral e IMSS, pero no hay mandatos core ni resultados atribuidos. Debe permanecer visible como integrante del equipo, sin candidatura individual en esta edición.</w:t>
      </w:r>
    </w:p>
    <w:p>
      <w:pPr>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Reservas y exclusiones comparativas: American Axle &amp; Manufacturing queda en reserva por discrepancia entre “American Axle Manufactury” y “American Axle &amp; Manufacturing”, inicio a comienzos de 2026 y falta de resultado final; no debe fijarse una variante como definitiva. TEKIA acredita estrategia de litigio y amparo, pero no resultado definitivo; queda detrás de Nueva Empresa, BADAK y un mandato confidencial de infraestructura, que aportan resultados procesales o cuantificados. Ramsa aporta auditorías, terminaciones sensibles y due diligence, pero se superpone con Art Human y SCOTCH; Grupo Radio Centro añade investigación interna y prevención de controversias. Securitas y Natividad Abogados muestran volumen, pero menos detalle jurídico que Cinemex, Volkswagen y los asuntos colectivos del núcleo. Omron, SKF, AUNDE, Sirushi/Shirushi, Corrugados y Empaques de Oriente son asesoría o gobernanza útil, pero generalmente menos diferenciadora; en Sirushi/Shirushi persiste discrepancia de nombre. Enerflex es trabajo directo de controversias, pero el cliente fue el empleado y se reserva para mantener una narrativa employer-side. Grupo Dos describe una negociación exitosa, pero carece del detalle jurídico, procesal y cuantitativo de los asuntos seleccionados. La falta de fechas exactas o de estado formal no demuestra inelegibilidad; los asuntos con actividad narrativa pueden describirse como en curso, sin inferir fechas, cierres o resultados definitivos.</w:t>
      </w:r>
    </w:p>
    <w:p>
      <w:pPr>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Confirmar la ventana de investigación aplicable o que los asuntos core seleccionados de DeForest reflejan actividad relevante dentro de ella.</w:t>
      </w:r>
    </w:p>
    <w:p>
      <w:pPr>
        <w:spacing w:after="60"/>
      </w:pPr>
      <w:r>
        <w:rPr>
          <w:b w:val="false"/>
          <w:bCs w:val="false"/>
          <w:i w:val="false"/>
          <w:iCs w:val="false"/>
          <w:sz w:val="22"/>
          <w:szCs w:val="22"/>
        </w:rPr>
        <w:t xml:space="preserve">2. Completar los contactos, nombre del departamento, número de socios, número de abogados y responsables de la presentación de DeForest, si están disponibles.</w:t>
      </w:r>
    </w:p>
    <w:p>
      <w:pPr>
        <w:spacing w:after="60"/>
      </w:pPr>
      <w:r>
        <w:rPr>
          <w:b w:val="false"/>
          <w:bCs w:val="false"/>
          <w:i w:val="false"/>
          <w:iCs w:val="false"/>
          <w:sz w:val="22"/>
          <w:szCs w:val="22"/>
        </w:rPr>
        <w:t xml:space="preserve">3. Preparar referencias de clientes para Eduardo Garduño, Javier Atzin Vallejo, Jaime Bustamante y José Alberto Díaz Méndez centradas en liderazgo y servicio, sin tratarlas como respaldo ya recibido.</w:t>
      </w:r>
    </w:p>
    <w:p>
      <w:pPr>
        <w:spacing w:after="60"/>
      </w:pPr>
      <w:r>
        <w:rPr>
          <w:b w:val="false"/>
          <w:bCs w:val="false"/>
          <w:i w:val="false"/>
          <w:iCs w:val="false"/>
          <w:sz w:val="22"/>
          <w:szCs w:val="22"/>
        </w:rPr>
        <w:t xml:space="preserve">4. Documentar la función técnica de José Alberto Díaz Méndez en SCOTCH, Grupo Solana y Poliuretanos Summa Woodbridge, y reunir roles personales verificables para Erick Pérez, Andrés Cabrera, Raymundo Carreño y Edgar Barreto.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DeForest Abogados</dc:title>
  <dc:creator>RankPilot</dc:creator>
  <cp:lastModifiedBy>Un-named</cp:lastModifiedBy>
  <cp:revision>1</cp:revision>
  <dcterms:created xsi:type="dcterms:W3CDTF">2026-10-08T20:40:13.952Z</dcterms:created>
  <dcterms:modified xsi:type="dcterms:W3CDTF">2026-10-08T20:40:13.952Z</dcterms:modified>
</cp:coreProperties>
</file>

<file path=docProps/custom.xml><?xml version="1.0" encoding="utf-8"?>
<Properties xmlns="http://schemas.openxmlformats.org/officeDocument/2006/custom-properties" xmlns:vt="http://schemas.openxmlformats.org/officeDocument/2006/docPropsVTypes"/>
</file>