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Labour &amp; Employment</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Mexico</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garduno@deforest.mx</w:t>
            </w:r>
          </w:p>
          <w:p>
            <w:pPr>
              <w:spacing w:after="40"/>
            </w:pPr>
            <w:r>
              <w:rPr>
                <w:rFonts w:ascii="Times New Roman" w:cs="Times New Roman" w:eastAsia="Times New Roman" w:hAnsi="Times New Roman"/>
                <w:sz w:val="18"/>
                <w:szCs w:val="18"/>
              </w:rPr>
              <w:t xml:space="preserve">Suggested ranking: Band 5 candidate</w:t>
            </w:r>
          </w:p>
          <w:p>
            <w:pPr>
              <w:spacing w:after="80"/>
            </w:pPr>
            <w:r>
              <w:rPr>
                <w:rFonts w:ascii="Times New Roman" w:cs="Times New Roman" w:eastAsia="Times New Roman" w:hAnsi="Times New Roman"/>
                <w:sz w:val="18"/>
                <w:szCs w:val="18"/>
              </w:rPr>
              <w:t xml:space="preserve">Eduardo Garduño leads DeForest’s Labour &amp; Employment practice. He has led employer-side mandates involving post-acquisition workforce integration, collective bargaining, labour litigation portfolios and workforce governance for industrial and consumer-facing operations in Mexico. His work includes leading the labour integration of a workforce exceeding 5,000 employees across six Mexican states following an acquisition, harmonising employment agreements, collective bargaining agreements, internal regulations, mixed commissions and governance policies while active proceedings continued in parallel.
He also leads collective labour and workforce-transformation mandates for manufacturing employers, including negotiations conducted against an imminent strike risk, multi-site collective bargaining work, and integrated employment-governance engagements combining active proceedings with advice on workplace rules, disciplinary procedures and employment documentation. His practice combines collective labour strategy, contentious employment work and preventive governance for complex operations.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pPr>
            <w:r>
              <w:rPr>
                <w:rFonts w:ascii="Times New Roman" w:cs="Times New Roman" w:eastAsia="Times New Roman" w:hAnsi="Times New Roman"/>
                <w:sz w:val="18"/>
                <w:szCs w:val="18"/>
              </w:rPr>
              <w:t xml:space="preserve">Suggested ranking: Band 5 candidate</w:t>
            </w:r>
          </w:p>
          <w:p>
            <w:pPr>
              <w:spacing w:after="80"/>
            </w:pPr>
            <w:r>
              <w:rPr>
                <w:rFonts w:ascii="Times New Roman" w:cs="Times New Roman" w:eastAsia="Times New Roman" w:hAnsi="Times New Roman"/>
                <w:sz w:val="18"/>
                <w:szCs w:val="18"/>
              </w:rPr>
              <w:t xml:space="preserve">Javier Atzin Vallejo is a partner in DeForest’s Labour &amp; Employment practice. He leads employer-side collective labour, workforce-governance and contentious employment mandates for industrial and infrastructure operations in Mexico. His work includes designing negotiation and litigation strategy in a collective bargaining agreement ownership dispute, where the team prevented work stoppages and avoided escalation under the USMCA Rapid Response Labor Mechanism.
He also leads labour-governance work for energy infrastructure projects, including workforce documentation, project-specific employment structures, compliance programmes, dispute prevention and workforce demobilisation. In contentious matters, he has led constitutional amparo proceedings that restored an employer’s right to present its defence and has combined constitutional litigation, procedural strategy and settlement negotiations to reduce a principal wrongful-termination claim materially. His practice brings together collective labour strategy, labour litigation and operational workforce governance.</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pPr>
            <w:r>
              <w:rPr>
                <w:rFonts w:ascii="Times New Roman" w:cs="Times New Roman" w:eastAsia="Times New Roman" w:hAnsi="Times New Roman"/>
                <w:sz w:val="18"/>
                <w:szCs w:val="18"/>
              </w:rPr>
              <w:t xml:space="preserve">Suggested ranking: Band 5 candidate</w:t>
            </w:r>
          </w:p>
          <w:p>
            <w:pPr>
              <w:spacing w:after="80"/>
            </w:pPr>
            <w:r>
              <w:rPr>
                <w:rFonts w:ascii="Times New Roman" w:cs="Times New Roman" w:eastAsia="Times New Roman" w:hAnsi="Times New Roman"/>
                <w:sz w:val="18"/>
                <w:szCs w:val="18"/>
              </w:rPr>
              <w:t xml:space="preserve">Jaime Bustamante is a partner in DeForest’s Labour &amp; Employment practice. He is named as lead partner on mandates involving workforce governance, employment litigation, labour compliance and sensitive employment-risk management. His work includes labour litigation portfolios, audits, internal-control enhancements, employment-procedure harmonisation and preventive compliance measures, including matters in which labour and social-security inspections concluded without fines.
He is also named as lead partner on sensitive workplace investigations involving senior personnel. His experience includes employment-governance platforms, compliance due diligence, employment documentation and constitutional and settlement strategies in complex employment disputes.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40"/>
            </w:pPr>
            <w:r>
              <w:rPr>
                <w:rFonts w:ascii="Times New Roman" w:cs="Times New Roman" w:eastAsia="Times New Roman" w:hAnsi="Times New Roman"/>
                <w:sz w:val="18"/>
                <w:szCs w:val="18"/>
              </w:rPr>
              <w:t xml:space="preserve">Suggested ranking: Associate to Watch candidate</w:t>
            </w:r>
          </w:p>
          <w:p>
            <w:pPr>
              <w:spacing w:after="80"/>
            </w:pPr>
            <w:r>
              <w:rPr>
                <w:rFonts w:ascii="Times New Roman" w:cs="Times New Roman" w:eastAsia="Times New Roman" w:hAnsi="Times New Roman"/>
                <w:sz w:val="18"/>
                <w:szCs w:val="18"/>
              </w:rPr>
              <w:t xml:space="preserve">José Alberto Díaz Méndez is an associate in DeForest’s Labour &amp; Employment practice, with experience in labour, social-security and administrative matters. He is identified as lead lawyer on mandates involving Mexico’s specialised-services regime, employer substitution processes and multi-company workforce restructurings.
His work includes a REPSE-focused review of corporate structure, specialised-services arrangements, bylaws and registration, together with an audit of more than 80 suppliers. He has also worked on an employer substitution affecting a workforce of more than 1,200 employees and on a restructuring involving approximately eight companies, including specialised-services implementation, workforce transition and social-security litigation. He contributes to wider industrial employment-governance mandates involving active labour proceedings, employment documentation and compliance.</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Erick Pérez is an associate in DeForest’s Labour &amp; Employment practice. He supports employer-side mandates involving employment litigation, workforce governance and collective labour matters. He is part of teams advising major employers on active labour proceedings, employment documentation, preventive governance and union-representation disputes in industrial operations.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Andrés Cabrera</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Andrés Cabrera is an associate in DeForest’s Labour &amp; Employment practice. His practice includes contentious labour work for domestic and multinational employers, with experience in individual and collective employment proceedings.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Raymundo Carreño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Raymundo Carreño is an associate in DeForest’s Labour &amp; Employment practice. His experience includes employer-side employment litigation, terminations and judicial conciliation hearings across Mexican jurisdictions. He also brings prior in-house legal experience from a major industrial employer, informing his understanding of complex workforce and operational issues.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Barreto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Edgar Barreto is an associate in DeForest’s Labour &amp; Employment practice. His work includes labour litigation, employer-side employment advice and social-security matters, including IMSS-related issues.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DeForest’s Labour &amp; Employment practice advises employers on workforce stability, collective labour relations, employment litigation, labour and social-security compliance, inspections and workforce governance across Mexico. The team combines contentious and non-contentious work for employers operating in labour-intensive and regulated sectors, including manufacturing, automotive, energy, infrastructure, technology, consumer services and financial services.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 is particularly active where employment strategy is closely connected to operational continuity. Its work includes post-acquisition labour integration, collective bargaining and union-representation disputes, prevention of work stoppages, nationwide labour litigation portfolios, workforce restructurings, employer substitutions, specialised-services compliance, internal investigations, employment documentation and social-security matters.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has advised on the harmonisation of labour structures for a workforce exceeding 5,000 employees across six Mexican states following an acquisition; collective labour disputes involving union representation and strike risk; nationwide litigation platforms comprising approximately 200 active proceedings; and employment-governance projects for industrial workforces of up to approximately 17,000 employees. Across its employer client base, the practice advises employers whose combined workforce exceeds one million employees throughout Mexico. Its Puebla team manages approximately 700 labour disputes, and during the last twelve months the team has assisted more than 20 clients in connection with labour inspections conducted by the Ministry of Labor.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It also advises on labour-reform implementation, REPSE-related reviews and supplier audits, labour and social-security inspections, and constitutional labour litigation. Eduardo Garduño leads the practice, with Javier Atzin Vallejo, Jaime Bustamante, José Alberto Díaz Méndez and other members of the team contributing across collective labour, workforce governance, litigation, compliance and social-security mandates. The practice is positioned to support employers throughout the employment lifecycle, from preventive governance and documentation to high-risk collective disputes and complex contentious matters.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requests consideration for coverage in Labour &amp; Employment in Mexico. The practice presents an employer-side offering that combines collective labour strategy, workforce integration, labour litigation, employment governance and labour and social-security compliance.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Representative work includes a post-acquisition labour integration affecting more than 5,000 employees across six states; collective labour mandates in which the team prevented work stoppages and addressed union-representation disputes; nationwide labour litigation management involving approximately 200 active proceedings; and workforce restructurings involving employer substitution, specialised-services structures and multi-company transitions. The team also handles inspections, internal employment investigations, constitutional labour litigation and preventive governance for industrial, infrastructure, consumer-facing and regulated businesses.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practice’s leadership is demonstrated through named partners leading these mandates, while associates contribute to complex restructuring, REPSE and litigation work. This combination of collective labour capability, contentious experience and practical workforce-governance work supports appropriate Chambers coverage for the Mexico Labour &amp; Employment market.</w:t>
            </w:r>
          </w:p>
        </w:tc>
      </w:tr>
    </w:tbl>
    <w:p>
      <w:r>
        <w:br w:type="page"/>
      </w: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SCOTCH on restructuring its corporate and labour framework following the introduction of Mexico’s specialised-services regime. Working jointly across the corporate and labour practices, the team reviewed the client’s corporate structure, specialised-services model, bylaws and REPSE registration.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also audited more than 80 suppliers to determine the appropriate regulatory treatment of specialised-services agreements. José Alberto Díaz Méndez is identified as lead lawyer on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 — lead lawyer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10</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SEBNMX</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REGSA - Recubrimientos Electroquímicos Galvánicos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Radio Centro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a global automotive supplier on the labour integration following its acquisition of another automotive business. The firm designed and implemented a harmonised labour strategy across facilities in Puebla, Estado de México, Guanajuato, Jalisco, Morelos and Chihuahua, covering employment agreements, collective bargaining agreements, internal regulations, mixed commissions and labour-governance policies for a workforce exceeding 5,000 employees.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also manages 35 active labour proceedings involving suppliers and former employees, aligning litigation strategy with the client’s unified post-acquisition governance model. Eduardo Garduño led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Ana Ruiz.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Currently underway. The firm has implemented the labour integration strategy and manages 35 active labour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a manufacturing employer in a sensitive collective labour dispute concerning ownership of the collective bargaining agreement at a Querétaro facility. The team designed and implemented the client’s negotiation and litigation strategy in union-representation proceedings while supporting operational continuity.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Through proactive dialogue and procedural management, the team prevented work stoppages and avoided escalation under the USMCA Rapid Response Labor Mechanism. Javier Atzin Vallejo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Work stoppages were prevented and escalation under the USMCA Rapid Response Labor Mechanism was avoided.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an automotive supplier during a period of deteriorating union relations and imminent strike risk. The team led collective bargaining negotiations, rebuilt dialogue between management and union representatives, and designed a renewed agreement balancing operational efficiency with employee expectations.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negotiated framework prevented the strike, introduced process improvements and supported uninterrupted production. Eduardo Garduño and Carlos Rivera are identified as lead partners.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Carlos Rivera.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The negotiated framework prevented a strike and supported uninterrupted production.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provides integrated labour governance support to a major industrial employer and its financial-services affiliate in Puebla. The mandate combines management of active labour proceedings involving aggregate exposure approaching MXN 280 million with advice on employment agreements, internal workplace regulations, disciplinary procedures, corporate powers of attorney and wider workforce-governance initiatives.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work, supported by José Alberto Díaz, Ana Ruiz,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Ana Ruiz,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The firm manages active labour proceedings alongside continuing workforce-governance advice.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coordinates a nationwide labour litigation platform for a major consumer-facing employer with more than 11,000 employees. The team manages approximately 200 active labour proceedings involving aggregate exposure exceeding MXN 60.5 million, leads conciliation proceedings, advises on workforce restructurings, strengthens employment documentation and refines preventive governance measures.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and Fernanda Priego lead the mandate, with Erick Pérez and Ariam Barrientos identified as team members.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553,278.59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Fernanda Priego.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The firm coordinates approximately 200 active labour proceedings and continuing preventive employment work.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developed the legal strategy for a restructuring affecting approximately eight companies across multiple Mexican states. The work included creation of a specialised-services entity, employer substitution processes, redesign of corporate purposes and implementation of a workforce transition across several operating companies.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also represents the client in social-security litigation before the Federal Court of Administrative Justice challenging tax assessments relating to two manufacturing facilities. José Alberto Díaz Méndez is identified as lead lawyer on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 — lead lawyer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firm continues to advise on labour and social-security governance and represents the client in social-security litigation.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supports a manufacturing employer’s workforce transformation across facilities in Puebla, Veracruz and Tlaxcala. The firm developed employment agreements, labour policies, collective bargaining documentation and workforce-governance protocols, while negotiating union-related matters involving exposure exceeding MXN 12.5 million and leading collective bargaining discussions.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collective bargaining work enabled the client to preserve operational stability during the restructuring. Eduardo Garduño leads the mandate, supported by José Alberto Díaz and Maximiliano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675,000.00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and Maximiliano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Collective bargaining discussions enabled operational stability during the restructuring process.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an infrastructure contractor on labour governance for major energy-infrastructure mandates, including pipeline expansions, gas-pipeline work and operational support for energy projects in Tabasco. The mandate includes the Energía Mayakan Pipeline Expansion, valued at more than USD 2,000,000,000, and the Mayakan system expansion (Cuxtal II), valued at USD 2,500,000,000; these project values are distinct from the labour litigation value of approximately USD 252,000. The team designed and implemented workforce documentation, project-specific employment structures, compliance programmes, dispute-prevention measures and workforce-demobilisation arrangements.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Alongside this preventive work, the team managed more than 20 labour disputes arising during project execution, resolving the overwhelming majority through conciliation and reducing potential financial exposure by approximately 80%. It also prevented an imminent strike that threatened to halt operations connected with strategic energy infrastructure. Javier Atzin Vallejo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252,000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The team prevented an imminent strike and continues labour-governance and dispute-management work.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an automotive supplier in a union-representativeness dispute at a Puebla manufacturing facility. The firm’s response combines litigation, collective bargaining strategy and continuing negotiations with competing unions, while it strengthens the employer’s labour-governance platform through employment agreements, internal labour policies and collective bargaining documentation.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team, with José Alberto Díaz, Erick Pérez and Ariam Barrientos identified as team members.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firm continues to manage the strategic response and strengthen the client’s labour-governance platform.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acts as labour counsel to an engineering and infrastructure business on project workforce governance, including contractual and compliance architecture for the USD 552 million Guadalajara Metro Line 4 project and workforce demobilisation designed to minimise post-project contingencies. The matter value is USD 1,144,523.00. Separately, the team represented the client in complex labour litigation arising from the Coahuila Wind Farm Project, where an adverse labour judgment threatened liabilities exceeding MXN 5.5 million, and successfully challenged that judgment through constitutional proceedings, restoring the client’s procedural rights and reopening the litigation.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firm manages more than 20 labour disputes across the client’s infrastructure portfolio, representing aggregate exposure of approximately MXN 21.5 million. Javier Atzin Vallejo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1,144,523.00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Barron and Roberto López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The constitutional challenge restored procedural rights and reopened the litigation; the firm continues to manage more than 20 labour disputes.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represents an employer in wrongful-termination proceedings raising a procedural issue concerning recognition of its attorney-in-fact. The team challenged the labour court’s ruling through constitutional amparo proceedings, arguing that legally recognised identity documentation had been improperly disregarded.</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A Collegiate Court granted constitutional relief, ordered recognition of the attorney’s legal standing and restored the employer’s right to present its defence. Javier Atzin Vallejo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171,494.21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A Collegiate Court granted constitutional relief, ordered recognition of legal standing and restored the client’s right to present its defence.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defends a technology business in multiple wrongful-termination claims. The team combined constitutional litigation, procedural strategy and commercial negotiations to address escalating liabilities and preserve business continuity.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Through the sequencing of legal actions and settlement discussions, the firm reduced one principal claim from approximately MXN 1.06 million to MXN 20,000 while continuing to manage the remaining proceedings. Javier Atzin Vallejo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firm reduced one principal claim from approximately MXN 1.06 million to MXN 20,000 and continues to manage the remaining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a diversified group employing more than 1,200 people on an employer substitution process affecting its workforce structure. The team designed and executed the legal strategy to reactivate an employer registration that had been cancelled, enabling the labour transition to proceed while maintaining compliance with employment requirements.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employer substitution proceeded without disruption to the client’s operations. José Alberto Díaz Méndez is identified as lead lawyer on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 — lead lawyer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employer registration was reactivated and the employer substitution proceeded without disrupting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a major industrial employer with approximately 17,000 employees across multiple business divisions. The mandate covers employment documentation, disciplinary procedures, labour-governance policies and union-related matters, together with employer-registration processes and coordination of social-security structures.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leads the work, supported by José Alberto Díaz.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US$ 9,579,844.00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an employer with approximately 700 employees across multiple Mexican states on labour governance, collective bargaining and union negotiations. The team coordinates employment strategy in Puebla, Querétaro, Silao, Aguascalientes, Ramos Arizpe and Apodaca, addressing local operational requirements and negotiations with different unions.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firm continues to advise across labour, collective bargaining and union negotiations in multiple jurisdictions.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SEBNMX</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advised an automotive manufacturer employing approximately 2,000 people in Tlaxcala on modernising its labour-governance platform in the context of Mexico’s labour reform. The team reviewed and updated internal workplace regulations, employment agreements, labour policies and mixed commissions, supporting implementation of the latest labour-reform requirements.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REGSA - Recubrimientos Electroquímicos Galvánicos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advises an industrial employer on the design of its labour-governance framework and its collective labour strategy. The team prepared employment documentation, labour policies and a collective bargaining framework, while leading union-representativeness proceedings requiring procedural strategy and continuing engagement with labour authorities.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Ana Ruíz.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acts as external labour counsel to a financial-services business, managing its employment litigation portfolio while conducting audits, strengthening internal controls, harmonising employment procedures and implementing preventive governance measures.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Three inspections conducted by the Ministry of Labor and IMSS concluded without fines despite combined potential exposure approaching MXN 2 million. Jaime Bustamante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104,000,000.45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Three Ministry of Labor and IMSS inspections concluded without fines.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Radio Centro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managed a sensitive internal employment investigation involving allegations against a senior executive at a media organisation. The team designed and supervised the investigation, coordinating evidence-gathering, legal analysis and strategic decision-making while maintaining compliance with applicable employment standards.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structured process prevented litigation valued at approximately MXN 750,000 and protected the client’s reputation during a sensitive period. Jaime Bustamante leads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US$40,000.00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The investigation process prevented litigation.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DeForest Abogados - Labour &amp; Employment</dc:title>
  <dc:creator>RankPilot 2026</dc:creator>
  <dc:description>Chambers &amp; Partners submission form for DeForest Abogados in Labour &amp; Employment</dc:description>
  <cp:lastModifiedBy>Un-named</cp:lastModifiedBy>
  <cp:revision>1</cp:revision>
  <dcterms:created xsi:type="dcterms:W3CDTF">2026-10-08T20:40:13.062Z</dcterms:created>
  <dcterms:modified xsi:type="dcterms:W3CDTF">2026-10-08T20:40:13.062Z</dcterms:modified>
</cp:coreProperties>
</file>

<file path=docProps/custom.xml><?xml version="1.0" encoding="utf-8"?>
<Properties xmlns="http://schemas.openxmlformats.org/officeDocument/2006/custom-properties" xmlns:vt="http://schemas.openxmlformats.org/officeDocument/2006/docPropsVTypes"/>
</file>