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B1 Department name (used by firm)</w:t>
      </w:r>
    </w:p>
    <w:p>
      <w:r>
        <w:t>Tax disputes</w:t>
      </w:r>
    </w:p>
    <w:p>
      <w:r>
        <w:t>B2 Number of partners</w:t>
      </w:r>
    </w:p>
    <w:p>
      <w:r>
        <w:t>5</w:t>
      </w:r>
    </w:p>
    <w:p>
      <w:r>
        <w:t>B3 Number of other qualified lawyers</w:t>
      </w:r>
    </w:p>
    <w:p>
      <w:r>
        <w:t>17</w:t>
      </w:r>
    </w:p>
    <w:p>
      <w:r>
        <w:t>Confidential Matter 1</w:t>
      </w:r>
    </w:p>
    <w:p>
      <w:r>
        <w:t>E1 Name of client</w:t>
      </w:r>
    </w:p>
    <w:p>
      <w:r>
        <w:t>Synthetic Client</w:t>
      </w:r>
    </w:p>
    <w:p>
      <w:r>
        <w:t>E2 Summary of matter</w:t>
      </w:r>
    </w:p>
    <w:p>
      <w:r>
        <w:t>The team represented Synthetic Client in a tax appeal. The assessment is MXN 5000 and the appeal remains pending.</w:t>
      </w:r>
    </w:p>
    <w:p>
      <w:r>
        <w:t>E3 Matter value</w:t>
      </w:r>
    </w:p>
    <w:p>
      <w:r>
        <w:t>MXN 5000</w:t>
      </w:r>
    </w:p>
    <w:p>
      <w:r>
        <w:t>E5 Lead partner</w:t>
      </w:r>
    </w:p>
    <w:p>
      <w:r>
        <w:t>Synthetic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