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365D" w:sz="6"/>
        </w:pBdr>
        <w:spacing w:after="180" w:before="360"/>
      </w:pPr>
      <w:r>
        <w:rPr>
          <w:b/>
          <w:bCs/>
          <w:color w:val="1B365D"/>
          <w:sz w:val="26"/>
          <w:szCs w:val="26"/>
        </w:rPr>
        <w:t xml:space="preserve">RANKPILOT — Strategic Audit Letter</w:t>
      </w:r>
    </w:p>
    <w:p>
      <w:pPr>
        <w:spacing w:after="80"/>
      </w:pPr>
      <w:r>
        <w:rPr>
          <w:b/>
          <w:bCs/>
          <w:sz w:val="22"/>
          <w:szCs w:val="22"/>
        </w:rPr>
        <w:t xml:space="preserve">Firm: </w:t>
      </w:r>
      <w:r>
        <w:rPr>
          <w:sz w:val="22"/>
          <w:szCs w:val="22"/>
        </w:rPr>
        <w:t xml:space="preserve">DeForest Abogados</w:t>
      </w:r>
    </w:p>
    <w:p>
      <w:pPr>
        <w:spacing w:after="80"/>
      </w:pPr>
      <w:r>
        <w:rPr>
          <w:b/>
          <w:bCs/>
          <w:sz w:val="22"/>
          <w:szCs w:val="22"/>
        </w:rPr>
        <w:t xml:space="preserve">Practice: </w:t>
      </w:r>
      <w:r>
        <w:rPr>
          <w:sz w:val="22"/>
          <w:szCs w:val="22"/>
        </w:rPr>
        <w:t xml:space="preserve">Labour &amp; Employment</w:t>
      </w:r>
    </w:p>
    <w:p>
      <w:pPr>
        <w:spacing w:after="60"/>
      </w:pPr>
      <w:r>
        <w:rPr>
          <w:b/>
          <w:bCs/>
          <w:sz w:val="22"/>
          <w:szCs w:val="22"/>
        </w:rPr>
        <w:t xml:space="preserve">Working draft — unresolved review findings; not approved for final delivery.</w:t>
      </w:r>
    </w:p>
    <w:p>
      <w:pPr>
        <w:spacing w:after="60"/>
      </w:pPr>
      <w:r>
        <w:rPr>
          <w:sz w:val="22"/>
          <w:szCs w:val="22"/>
        </w:rPr>
        <w:t xml:space="preserve">Confidential internal review. Ranking outcomes are determined by the directory.</w:t>
      </w:r>
    </w:p>
    <w:p>
      <w:pPr>
        <w:pBdr>
          <w:bottom w:val="single" w:color="1B365D" w:sz="6"/>
        </w:pBdr>
        <w:spacing w:after="180" w:before="360"/>
      </w:pPr>
      <w:r>
        <w:rPr>
          <w:b/>
          <w:bCs/>
          <w:color w:val="1B365D"/>
          <w:sz w:val="26"/>
          <w:szCs w:val="26"/>
        </w:rPr>
        <w:t xml:space="preserve">1. Executive assessment</w:t>
      </w:r>
    </w:p>
    <w:p>
      <w:pPr>
        <w:spacing w:after="60"/>
      </w:pPr>
      <w:r>
        <w:rPr>
          <w:sz w:val="22"/>
          <w:szCs w:val="22"/>
        </w:rPr>
        <w:t xml:space="preserve">La estrategia validada sostiene una presentación de Labour &amp; Employment centrada en relaciones colectivas, litigios laborales, amparo, seguridad social, REPSE y reestructuraciones. El asunto hero es Volkswagen de México y VW Financial Services: el mandato en curso combina procedimientos laborales activos con exposición agregada cercana a MXN 280 millones y asesoría sobre documentación laboral, disciplina y gobierno de la fuerza de trabajo. Las decisiones de confidencialidad guardadas permiten incluir los asuntos confidenciales. No existe una posición Chambers Labour &amp; Employment Mexico acreditada para la firma: la comprobación disponible figura como “not_found”, no como evidencia de firma no clasificada.</w:t>
      </w:r>
    </w:p>
    <w:p>
      <w:pPr>
        <w:pBdr>
          <w:bottom w:val="single" w:color="1B365D" w:sz="6"/>
        </w:pBdr>
        <w:spacing w:after="180" w:before="360"/>
      </w:pPr>
      <w:r>
        <w:rPr>
          <w:b/>
          <w:bCs/>
          <w:color w:val="1B365D"/>
          <w:sz w:val="26"/>
          <w:szCs w:val="26"/>
        </w:rPr>
        <w:t xml:space="preserve">2. Selected portfolio</w:t>
      </w:r>
    </w:p>
    <w:p>
      <w:pPr>
        <w:spacing w:after="60"/>
      </w:pPr>
      <w:r>
        <w:rPr>
          <w:sz w:val="22"/>
          <w:szCs w:val="22"/>
        </w:rPr>
        <w:t xml:space="preserve">Selección core exacta: Mextypsa; Bonatti SpA y Bonatti México; SCHAEFFLER; GeNI de México; Nueva Empresa; Brose México; cliente privado (Enerflex); Empresa Tekia; BADAK; Volkswagen de México y VW Financial Services (hero); Robert Bosch de México; Coats de México; Benteler; Cinemex; Art Human; Natividad Abogados; Recicla Ambiente; SCOTCH; Grupo Solana; y Poliuretanos Summa Woodbridge (PSW).
Reservas exactas: Securitas de México; American Axle Manufactury; Grupo Dos; Ramsa Soluciones de Negocios en Bebidas; REGSA; Omron; Grupo Radio Centro; SKF Industrial; Sirushi; AUNDE; y SEBNMX. Exclusión exacta: Corrugados y Empaques de Oriente.
Las alternativas limítrofes más fuertes son Securitas, Omron y REGSA. Securitas aporta una cartera de más de 50 procedimientos y asesoría preventiva, pero es menos diferenciada que los asuntos core de negociación colectiva, amparo y reestructuración. Omron ofrece trabajo relevante de reforma laboral, teletrabajo e IMSS, pero solapa mandatos de gobierno laboral de mayor complejidad. REGSA incorpora representatividad sindical, aunque sin la escala, resultado o amplitud documentados en los asuntos colectivos core.</w:t>
      </w:r>
    </w:p>
    <w:p>
      <w:pPr>
        <w:pBdr>
          <w:bottom w:val="single" w:color="1B365D" w:sz="6"/>
        </w:pBdr>
        <w:spacing w:after="180" w:before="360"/>
      </w:pPr>
      <w:r>
        <w:rPr>
          <w:b/>
          <w:bCs/>
          <w:color w:val="1B365D"/>
          <w:sz w:val="26"/>
          <w:szCs w:val="26"/>
        </w:rPr>
        <w:t xml:space="preserve">3. Leadership and attribution</w:t>
      </w:r>
    </w:p>
    <w:p>
      <w:pPr>
        <w:spacing w:after="60"/>
      </w:pPr>
      <w:r>
        <w:rPr>
          <w:sz w:val="22"/>
          <w:szCs w:val="22"/>
        </w:rPr>
        <w:t xml:space="preserve">Ningún abogado tiene ranking verificado. “Unranked”, cuando aparece, es una declaración de estatus actual, no evidencia oficial; las propuestas de candidatura no son reconocimiento establecido.
Eduardo Garduño figura como socio y lead de SCHAEFFLER, Volkswagen, Coats, Benteler y Cinemex, entre otros. Su propuesta de Band 5 es solo candidatura; recabar referencias y evidencia externa de su contribución personal.
Javier Atzin Vallejo figura como socio y lead de Mextypsa, Bonatti, Nueva Empresa, Brose, BADAK y Robert Bosch. La propuesta “Associate to Watch” es incompatible con el registro que lo identifica como socio; no debe sostenerse hasta confirmar documentalmente su categoría profesional y la candidatura aplicable.
Jaime Bustamante consta como Senior Practitioner y con indicador de socio; lidera American Axle Manufactury, Tekia, Grupo Dos, Ramsa, Grupo Radio Centro y Art Human. Se requiere evidencia externa de su papel personal.
José Alberto Díaz Méndez consta como Senior Associate y lead de SCOTCH, Grupo Solana y PSW; es la evidencia más clara de liderazgo no socio, pendiente de corroboración externa. Erick Pérez aparece como miembro de equipo en Securitas, Volkswagen, Benteler y Cinemex, no como lead. Andrés Cabrera, Raymundo Carreño y Edgar Barreto no tienen un rol atribuido en los asuntos fuente. Sus biografías no sustituyen mandatos, funciones personales ni evidencia externa.</w:t>
      </w:r>
    </w:p>
    <w:p>
      <w:pPr>
        <w:pBdr>
          <w:bottom w:val="single" w:color="1B365D" w:sz="6"/>
        </w:pBdr>
        <w:spacing w:after="180" w:before="360"/>
      </w:pPr>
      <w:r>
        <w:rPr>
          <w:b/>
          <w:bCs/>
          <w:color w:val="1B365D"/>
          <w:sz w:val="26"/>
          <w:szCs w:val="26"/>
        </w:rPr>
        <w:t xml:space="preserve">4. Evidence gaps</w:t>
      </w:r>
    </w:p>
    <w:p>
      <w:pPr>
        <w:spacing w:after="60"/>
      </w:pPr>
      <w:r>
        <w:rPr>
          <w:sz w:val="22"/>
          <w:szCs w:val="22"/>
        </w:rPr>
        <w:t xml:space="preserve">Confirmar el periodo de investigación y las fechas/estatus de cliente para los asuntos core de cliente privado (Enerflex), Benteler, Natividad Abogados, Recicla Ambiente, SCOTCH, Grupo Solana y PSW; no describirlos como cerrados. Mantener la distinción entre valores confirmados y exposiciones distintas expresadas en MXN. Verificar la grafía destinada a publicación de American Axle Manufactury, Sirushi y SCOTCH.
Las afirmaciones de reconocimientos directoriales contenidas en la fuente B10 siguen sin verificar y no deben reincorporarse. No atribuir ranking a la firma ni a abogados sin evidencia oficial coincidente en directorio, edición, práctica y sujeto.</w:t>
      </w:r>
    </w:p>
    <w:p>
      <w:pPr>
        <w:pBdr>
          <w:bottom w:val="single" w:color="1B365D" w:sz="6"/>
        </w:pBdr>
        <w:spacing w:after="180" w:before="360"/>
      </w:pPr>
      <w:r>
        <w:rPr>
          <w:b/>
          <w:bCs/>
          <w:color w:val="1B365D"/>
          <w:sz w:val="26"/>
          <w:szCs w:val="26"/>
        </w:rPr>
        <w:t xml:space="preserve">5. Recommended next steps</w:t>
      </w:r>
    </w:p>
    <w:p>
      <w:pPr>
        <w:spacing w:after="60"/>
      </w:pPr>
      <w:r>
        <w:rPr>
          <w:sz w:val="22"/>
          <w:szCs w:val="22"/>
        </w:rPr>
        <w:t xml:space="preserve">Conservar la selección canónica, reservas, exclusión y hero indicados. Redactar cada asunto desde el mandato jurídico y la contribución de DeForest, separando trabajo en curso de resultados judiciales, conciliatorios o de inspección ya declarados. Obtener confirmaciones puntuales de estatus y fechas, referencias que atribuyan el trabajo de cada candidato y, para Javier Atzin Vallejo, confirmación documental de categoría profesional antes de cualquier candidatura. Si se solicita lenguaje de ranking, aportar evidencia oficial de alcance coincidente o eliminarlo.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RankPilot Strategic Audit - DeForest Abogados</dc:title>
  <dc:creator>RankPilot</dc:creator>
  <cp:lastModifiedBy>Un-named</cp:lastModifiedBy>
  <cp:revision>1</cp:revision>
  <dcterms:created xsi:type="dcterms:W3CDTF">2026-10-05T23:32:58.720Z</dcterms:created>
  <dcterms:modified xsi:type="dcterms:W3CDTF">2026-10-05T23:32:58.720Z</dcterms:modified>
</cp:coreProperties>
</file>

<file path=docProps/custom.xml><?xml version="1.0" encoding="utf-8"?>
<Properties xmlns="http://schemas.openxmlformats.org/officeDocument/2006/custom-properties" xmlns:vt="http://schemas.openxmlformats.org/officeDocument/2006/docPropsVTypes"/>
</file>