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rFonts w:ascii="Times New Roman" w:cs="Times New Roman" w:eastAsia="Times New Roman" w:hAnsi="Times New Roman"/>
          <w:b/>
          <w:bCs/>
          <w:sz w:val="40"/>
          <w:szCs w:val="40"/>
        </w:rPr>
        <w:t xml:space="preserve">Chambers</w:t>
      </w:r>
    </w:p>
    <w:p>
      <w:pPr>
        <w:spacing w:after="300"/>
        <w:jc w:val="center"/>
      </w:pPr>
      <w:r>
        <w:rPr>
          <w:rFonts w:ascii="Times New Roman" w:cs="Times New Roman" w:eastAsia="Times New Roman" w:hAnsi="Times New Roman"/>
          <w:b/>
          <w:bCs/>
          <w:sz w:val="20"/>
          <w:szCs w:val="20"/>
        </w:rPr>
        <w:t xml:space="preserve">AND PARTNERS</w:t>
      </w:r>
    </w:p>
    <w:p>
      <w:pPr>
        <w:spacing w:after="300"/>
        <w:jc w:val="center"/>
      </w:pPr>
      <w:r>
        <w:rPr>
          <w:rFonts w:ascii="Times New Roman" w:cs="Times New Roman" w:eastAsia="Times New Roman" w:hAnsi="Times New Roman"/>
          <w:b/>
          <w:bCs/>
          <w:sz w:val="24"/>
          <w:szCs w:val="24"/>
        </w:rPr>
        <w:t xml:space="preserve">SUBMISSION FORM</w:t>
      </w:r>
    </w:p>
    <w:p>
      <w:pPr>
        <w:spacing w:after="40"/>
        <w:jc w:val="center"/>
      </w:pPr>
      <w:r>
        <w:rPr>
          <w:rFonts w:ascii="Times New Roman" w:cs="Times New Roman" w:eastAsia="Times New Roman" w:hAnsi="Times New Roman"/>
          <w:b/>
          <w:bCs/>
          <w:sz w:val="18"/>
          <w:szCs w:val="18"/>
        </w:rPr>
        <w:t xml:space="preserve">Please do not alter this submission template.</w:t>
      </w:r>
      <w:r>
        <w:rPr>
          <w:rFonts w:ascii="Times New Roman" w:cs="Times New Roman" w:eastAsia="Times New Roman" w:hAnsi="Times New Roman"/>
          <w:sz w:val="18"/>
          <w:szCs w:val="18"/>
        </w:rPr>
        <w:t xml:space="preserve"> If a question does not apply to you, please leave it blank.</w:t>
      </w:r>
    </w:p>
    <w:p>
      <w:pPr>
        <w:spacing w:after="200"/>
        <w:jc w:val="center"/>
      </w:pPr>
      <w:r>
        <w:rPr>
          <w:rFonts w:ascii="Times New Roman" w:cs="Times New Roman" w:eastAsia="Times New Roman" w:hAnsi="Times New Roman"/>
          <w:b/>
          <w:bCs/>
          <w:i/>
          <w:iCs/>
          <w:sz w:val="18"/>
          <w:szCs w:val="18"/>
        </w:rPr>
        <w:t xml:space="preserve">If something is confidential, mark it as such throughout.</w:t>
      </w:r>
    </w:p>
    <w:p>
      <w:pPr>
        <w:spacing w:after="100"/>
        <w:jc w:val="left"/>
      </w:pPr>
      <w:r>
        <w:rPr>
          <w:rFonts w:ascii="Times New Roman" w:cs="Times New Roman" w:eastAsia="Times New Roman" w:hAnsi="Times New Roman"/>
          <w:sz w:val="18"/>
          <w:szCs w:val="18"/>
        </w:rPr>
        <w:t xml:space="preserve">Please upload submissions online at: https://myaccount.chambers.com</w:t>
      </w:r>
    </w:p>
    <w:p>
      <w:pPr>
        <w:spacing w:after="400"/>
      </w:pPr>
      <w:r>
        <w:rPr>
          <w:rFonts w:ascii="Times New Roman" w:cs="Times New Roman" w:eastAsia="Times New Roman" w:hAnsi="Times New Roman"/>
          <w:sz w:val="18"/>
          <w:szCs w:val="18"/>
        </w:rPr>
        <w:t xml:space="preserve">You will need a username and password to manage your submission and profile. If you do not have an account with Chambers, please onboard here: How to Onboard With Chambers | Chambers and Partners</w:t>
      </w:r>
    </w:p>
    <w:p>
      <w:pPr>
        <w:spacing w:after="200" w:before="300"/>
        <w:jc w:val="center"/>
      </w:pPr>
      <w:r>
        <w:rPr>
          <w:rFonts w:ascii="Times New Roman" w:cs="Times New Roman" w:eastAsia="Times New Roman" w:hAnsi="Times New Roman"/>
          <w:b/>
          <w:bCs/>
          <w:sz w:val="24"/>
          <w:szCs w:val="24"/>
        </w:rPr>
        <w:t xml:space="preserve">A. PRELIMINARY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Firm name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Abogados</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Practice Area</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Labour &amp; Employment</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A3</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Location (Jurisdiction)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Mexico</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A4</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Contact person(s) to arrange interviews about this practice area</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Email</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Telephone number</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p>
      <w:pPr>
        <w:spacing w:after="200" w:before="300"/>
        <w:jc w:val="center"/>
      </w:pPr>
      <w:r>
        <w:rPr>
          <w:rFonts w:ascii="Times New Roman" w:cs="Times New Roman" w:eastAsia="Times New Roman" w:hAnsi="Times New Roman"/>
          <w:b/>
          <w:bCs/>
          <w:sz w:val="24"/>
          <w:szCs w:val="24"/>
        </w:rPr>
        <w:t xml:space="preserve">B. DEPARTMENT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Department name (used by firm)</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Number of partners in the department</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B3</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Number of other qualified lawyers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B7</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Head or Heads of department</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Email</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Telephone number</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B8</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Hires / Departures of partners in last 12 months 
(state if they joined or left, and name of the other firm)</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Joined / Departed</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Joined From / Destination (firm)</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260"/>
        <w:gridCol w:w="1000"/>
        <w:gridCol w:w="1000"/>
        <w:gridCol w:w="1600"/>
      </w:tblGrid>
      <w:tr>
        <w:tc>
          <w:tcPr>
            <w:tcW w:type="dxa" w:w="9360"/>
            <w:gridSpan w:val="5"/>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B9</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Information regarding Ranked and Unranked lawyers (including associates) in this practice area.</w:t>
            </w:r>
            <w:r>
              <w:rPr>
                <w:rFonts w:ascii="Times New Roman" w:cs="Times New Roman" w:eastAsia="Times New Roman" w:hAnsi="Times New Roman"/>
                <w:i/>
                <w:iCs/>
                <w:sz w:val="14"/>
                <w:szCs w:val="14"/>
              </w:rPr>
              <w:t xml:space="preserve">
Please do not repeat additional biographical information which is available on your website or via other sources. You may include a link to these biographies.</w:t>
            </w:r>
          </w:p>
        </w:tc>
      </w:tr>
      <w:tr>
        <w:tc>
          <w:tcPr>
            <w:tcW w:type="dxa" w:w="150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42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Comments or Web Link</w:t>
            </w:r>
          </w:p>
        </w:tc>
        <w:tc>
          <w:tcPr>
            <w:tcW w:type="dxa" w:w="1000"/>
            <w:tcBorders>
              <w:top w:val="single" w:color="000000" w:sz="1"/>
              <w:left w:val="single" w:color="000000" w:sz="1"/>
              <w:bottom w:val="single" w:color="000000" w:sz="1"/>
              <w:right w:val="single" w:color="000000" w:sz="1"/>
            </w:tcBorders>
            <w:vAlign w:val="top"/>
          </w:tcPr>
          <w:p>
            <w:pPr>
              <w:spacing w:after="80"/>
              <w:jc w:val="center"/>
            </w:pPr>
            <w:r>
              <w:rPr>
                <w:rFonts w:ascii="Times New Roman" w:cs="Times New Roman" w:eastAsia="Times New Roman" w:hAnsi="Times New Roman"/>
                <w:b/>
                <w:bCs/>
                <w:sz w:val="18"/>
                <w:szCs w:val="18"/>
              </w:rPr>
              <w:t xml:space="preserve">Partner
Y/N</w:t>
            </w:r>
          </w:p>
        </w:tc>
        <w:tc>
          <w:tcPr>
            <w:tcW w:type="dxa" w:w="1000"/>
            <w:tcBorders>
              <w:top w:val="single" w:color="000000" w:sz="1"/>
              <w:left w:val="single" w:color="000000" w:sz="1"/>
              <w:bottom w:val="single" w:color="000000" w:sz="1"/>
              <w:right w:val="single" w:color="000000" w:sz="1"/>
            </w:tcBorders>
            <w:vAlign w:val="top"/>
          </w:tcPr>
          <w:p>
            <w:pPr>
              <w:spacing w:after="80"/>
              <w:jc w:val="center"/>
            </w:pPr>
            <w:r>
              <w:rPr>
                <w:rFonts w:ascii="Times New Roman" w:cs="Times New Roman" w:eastAsia="Times New Roman" w:hAnsi="Times New Roman"/>
                <w:b/>
                <w:bCs/>
                <w:sz w:val="18"/>
                <w:szCs w:val="18"/>
              </w:rPr>
              <w:t xml:space="preserve">Ranked
Y/N</w:t>
            </w:r>
          </w:p>
        </w:tc>
        <w:tc>
          <w:tcPr>
            <w:tcW w:type="dxa" w:w="160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b/>
                <w:bCs/>
                <w:sz w:val="14"/>
                <w:szCs w:val="14"/>
              </w:rPr>
              <w:t xml:space="preserve">Current/recent parental leave, significant childcare commitments or other part-time working arrangements, if applicable. For more information, please see our leave policy).</w:t>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garduno@deforest.mx</w:t>
            </w:r>
          </w:p>
          <w:p>
            <w:pPr>
              <w:spacing w:after="40"/>
            </w:pPr>
            <w:r>
              <w:rPr>
                <w:rFonts w:ascii="Times New Roman" w:cs="Times New Roman" w:eastAsia="Times New Roman" w:hAnsi="Times New Roman"/>
                <w:sz w:val="18"/>
                <w:szCs w:val="18"/>
              </w:rPr>
              <w:t xml:space="preserve">Suggested ranking: Band 5</w:t>
            </w:r>
          </w:p>
          <w:p>
            <w:pPr>
              <w:spacing w:after="80"/>
            </w:pPr>
            <w:r>
              <w:rPr>
                <w:rFonts w:ascii="Times New Roman" w:cs="Times New Roman" w:eastAsia="Times New Roman" w:hAnsi="Times New Roman"/>
                <w:sz w:val="18"/>
                <w:szCs w:val="18"/>
              </w:rPr>
              <w:t xml:space="preserve">Eduardo is a partner in DeForest’s Labour &amp; Employment practice and one of the most respected voices in labor governance in Mexico. His background blends more than two decades advising multinational employers with senior public-sector experience, allowing him to translate complex regulatory environments into stable operational frameworks. He is known for structuring policies and documentation systems that support high-risk, labor-intensive operations, as well as for steering high-value disputes that require strategic judgement and procedural precision. His leadership extends across mandates involving litigation coordination, cross-state governance and preventive frameworks for a range of clients.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40" w:before="100"/>
            </w:pPr>
            <w:r>
              <w:rPr>
                <w:rFonts w:ascii="Times New Roman" w:cs="Times New Roman" w:eastAsia="Times New Roman" w:hAnsi="Times New Roman"/>
                <w:sz w:val="18"/>
                <w:szCs w:val="18"/>
              </w:rPr>
              <w:t xml:space="preserve">Current ranking: Unranked</w:t>
            </w:r>
          </w:p>
          <w:p>
            <w:pPr>
              <w:spacing w:after="40"/>
            </w:pPr>
            <w:r>
              <w:rPr>
                <w:rFonts w:ascii="Times New Roman" w:cs="Times New Roman" w:eastAsia="Times New Roman" w:hAnsi="Times New Roman"/>
                <w:sz w:val="18"/>
                <w:szCs w:val="18"/>
              </w:rPr>
              <w:t xml:space="preserve">Suggested ranking: Associate to Watch</w:t>
            </w:r>
          </w:p>
          <w:p>
            <w:pPr>
              <w:spacing w:after="80"/>
            </w:pPr>
            <w:r>
              <w:rPr>
                <w:rFonts w:ascii="Times New Roman" w:cs="Times New Roman" w:eastAsia="Times New Roman" w:hAnsi="Times New Roman"/>
                <w:sz w:val="18"/>
                <w:szCs w:val="18"/>
              </w:rPr>
              <w:t xml:space="preserve">Partner · Industrial relations, collective labour, social security and complex employment matters across manufacturing operations.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Jaime Bustamante</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40" w:before="100"/>
            </w:pPr>
            <w:r>
              <w:rPr>
                <w:rFonts w:ascii="Times New Roman" w:cs="Times New Roman" w:eastAsia="Times New Roman" w:hAnsi="Times New Roman"/>
                <w:sz w:val="18"/>
                <w:szCs w:val="18"/>
              </w:rPr>
              <w:t xml:space="preserve">Current ranking: Unranked</w:t>
            </w:r>
          </w:p>
          <w:p>
            <w:pPr>
              <w:spacing w:after="80"/>
            </w:pPr>
            <w:r>
              <w:rPr>
                <w:rFonts w:ascii="Times New Roman" w:cs="Times New Roman" w:eastAsia="Times New Roman" w:hAnsi="Times New Roman"/>
                <w:sz w:val="18"/>
                <w:szCs w:val="18"/>
              </w:rPr>
              <w:t xml:space="preserve">Senior Practitioner · Workforce strategy, labour disputes, compliance and employment risk management.</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40" w:before="100"/>
            </w:pPr>
            <w:r>
              <w:rPr>
                <w:rFonts w:ascii="Times New Roman" w:cs="Times New Roman" w:eastAsia="Times New Roman" w:hAnsi="Times New Roman"/>
                <w:sz w:val="18"/>
                <w:szCs w:val="18"/>
              </w:rPr>
              <w:t xml:space="preserve">Current ranking: Unranked</w:t>
            </w:r>
          </w:p>
          <w:p>
            <w:pPr>
              <w:spacing w:after="80"/>
            </w:pPr>
            <w:r>
              <w:rPr>
                <w:rFonts w:ascii="Times New Roman" w:cs="Times New Roman" w:eastAsia="Times New Roman" w:hAnsi="Times New Roman"/>
                <w:sz w:val="18"/>
                <w:szCs w:val="18"/>
              </w:rPr>
              <w:t xml:space="preserve">Senior Associate · Specialist in labor, social security and administrative litigation with lead responsibility across multiple complex dispute and inspection mandates.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Erick Pérez</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40" w:before="100"/>
            </w:pPr>
            <w:r>
              <w:rPr>
                <w:rFonts w:ascii="Times New Roman" w:cs="Times New Roman" w:eastAsia="Times New Roman" w:hAnsi="Times New Roman"/>
                <w:sz w:val="18"/>
                <w:szCs w:val="18"/>
              </w:rPr>
              <w:t xml:space="preserve">Current ranking: Unranked</w:t>
            </w:r>
          </w:p>
          <w:p>
            <w:pPr>
              <w:spacing w:after="80"/>
            </w:pPr>
            <w:r>
              <w:rPr>
                <w:rFonts w:ascii="Times New Roman" w:cs="Times New Roman" w:eastAsia="Times New Roman" w:hAnsi="Times New Roman"/>
                <w:sz w:val="18"/>
                <w:szCs w:val="18"/>
              </w:rPr>
              <w:t xml:space="preserve">Labor and employment practitioner advising on collective negotiations, workforce inspections, and administrative compliance.</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Andrés Cabrera</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40" w:before="100"/>
            </w:pPr>
            <w:r>
              <w:rPr>
                <w:rFonts w:ascii="Times New Roman" w:cs="Times New Roman" w:eastAsia="Times New Roman" w:hAnsi="Times New Roman"/>
                <w:sz w:val="18"/>
                <w:szCs w:val="18"/>
              </w:rPr>
              <w:t xml:space="preserve">Current ranking: Unranked</w:t>
            </w:r>
          </w:p>
          <w:p>
            <w:pPr>
              <w:spacing w:after="80"/>
            </w:pPr>
            <w:r>
              <w:rPr>
                <w:rFonts w:ascii="Times New Roman" w:cs="Times New Roman" w:eastAsia="Times New Roman" w:hAnsi="Times New Roman"/>
                <w:sz w:val="18"/>
                <w:szCs w:val="18"/>
              </w:rPr>
              <w:t xml:space="preserve">Key member of the contentious labor team representing domestic and multinational employers in individual and collective dispute proceedings.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Raymundo Carreño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40" w:before="100"/>
            </w:pPr>
            <w:r>
              <w:rPr>
                <w:rFonts w:ascii="Times New Roman" w:cs="Times New Roman" w:eastAsia="Times New Roman" w:hAnsi="Times New Roman"/>
                <w:sz w:val="18"/>
                <w:szCs w:val="18"/>
              </w:rPr>
              <w:t xml:space="preserve">Current ranking: Unranked</w:t>
            </w:r>
          </w:p>
          <w:p>
            <w:pPr>
              <w:spacing w:after="80"/>
            </w:pPr>
            <w:r>
              <w:rPr>
                <w:rFonts w:ascii="Times New Roman" w:cs="Times New Roman" w:eastAsia="Times New Roman" w:hAnsi="Times New Roman"/>
                <w:sz w:val="18"/>
                <w:szCs w:val="18"/>
              </w:rPr>
              <w:t xml:space="preserve">Employment litigation specialist managing employer-side defense, terminations, and judicial conciliation hearings across Mexican jurisdictions.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Edgar Barreto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40" w:before="100"/>
            </w:pPr>
            <w:r>
              <w:rPr>
                <w:rFonts w:ascii="Times New Roman" w:cs="Times New Roman" w:eastAsia="Times New Roman" w:hAnsi="Times New Roman"/>
                <w:sz w:val="18"/>
                <w:szCs w:val="18"/>
              </w:rPr>
              <w:t xml:space="preserve">Current ranking: Unranked</w:t>
            </w:r>
          </w:p>
          <w:p>
            <w:pPr>
              <w:spacing w:after="80"/>
            </w:pPr>
            <w:r>
              <w:rPr>
                <w:rFonts w:ascii="Times New Roman" w:cs="Times New Roman" w:eastAsia="Times New Roman" w:hAnsi="Times New Roman"/>
                <w:sz w:val="18"/>
                <w:szCs w:val="18"/>
              </w:rPr>
              <w:t xml:space="preserve">Labor practitioner supporting corporate clients on day-to-day employment compliance, workplace investigations, and labor agreement drafting.</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Yrelia Barron</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Roberto López Hernández.</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Ana Ruiz.</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Carlos Rivera.</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Alejandro Salas de la Borbolla</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Ariam Barrientos.</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Maximiliano Hernández.</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Fernanda Priego.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B10</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What is this department best known for?
Please include: industry sector expertise; key types of work; areas of recent growth.
Address any feedback on our recent coverage of your department (500 word count limit)</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Abogados advises domestic and multinational employers on labour advisory, litigation, collective labour relations, social security, compliance and workforce governance matters throughout Mexico. Its work covers the employment lifecycle, including hiring and day-to-day advice, collective bargaining, restructurings, regulatory inspections, social security issues and employment litigation.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practice acts for companies in regulated and labour-intensive sectors, including automotive, advanced manufacturing, infrastructure, energy, logistics, retail, technology, telecommunications and financial services. It advises on collective bargaining and union representation matters, labour integration following M&amp;A transactions, employer restructurings, labour and social security audits, constitutional proceedings, preventive compliance programmes and inspections before the Ministry of Labour, IMSS and INFONAVIT.</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advises employers with a combined workforce exceeding one million employees in Mexico. Its contentious work includes nationwide litigation portfolios comprising hundreds of simultaneous proceedings, including approximately 700 labour disputes managed by the Puebla team. The practice has also assisted more than 20 clients in connection with Ministry of Labour inspections and has handled labour and social security compliance audits.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brings more than two decades of experience advising corporations on labour matters, together with public-sector experience. Jaime Bustamante previously served as Legal Director for Mexico, Central America and South America at ManpowerGroup. Raymundo Carreño was General Legal Director of a confidential client de México for nearly four decades.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Other practitioners include Javier Atzin Vallejo, whose work focuses on labour compliance, social security and workforce integration; Edgar Barreto, who handles labour litigation and IMSS matters; Andrés Cabrera, who leads the firm’s labour practice in the Bajío region; Erick Pérez, whose practice includes litigation and constitutional proceedings; and José Alberto Díaz, who advises on labour, social security and administrative litigation in regulated industries.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C1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If you have used barristers / advocates in the UK, Australia, Hong Kong, India, Malaysia, New Zealand or Sri Lanka please provide the information below (Optional)</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Barrister/advocate 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Firm / Set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Comments</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C2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Feedback on our coverage of this practice area (Optional)</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p>
      <w:pPr>
        <w:spacing w:after="100" w:before="200"/>
        <w:jc w:val="center"/>
      </w:pPr>
      <w:r>
        <w:rPr>
          <w:rFonts w:ascii="Times New Roman" w:cs="Times New Roman" w:eastAsia="Times New Roman" w:hAnsi="Times New Roman"/>
          <w:b/>
          <w:bCs/>
          <w:sz w:val="24"/>
          <w:szCs w:val="24"/>
        </w:rPr>
        <w:t xml:space="preserve">D. PUBLISHABLE INFORMATION</w:t>
      </w:r>
    </w:p>
    <w:p>
      <w:pPr>
        <w:spacing w:after="200"/>
      </w:pPr>
      <w:r>
        <w:rPr>
          <w:rFonts w:ascii="Times New Roman" w:cs="Times New Roman" w:eastAsia="Times New Roman" w:hAnsi="Times New Roman"/>
          <w:i/>
          <w:iCs/>
          <w:sz w:val="16"/>
          <w:szCs w:val="16"/>
        </w:rPr>
        <w:t xml:space="preserve">All information in section 'D' is considered PUBLISHABLE. Do not include any confidential information in this section. Confidential information can be included in section 'E'. Information in section 'D' may be printed in Chambers and Partners publications.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D0 –</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PUBLISHABLE CLIENTS – List of this department's PUBLISHABLE clients. Please indicate whether a client is a new client (within the last 12 months). If this information is not known, leave the field blank.</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 of Client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New Client (Y/N)</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SCOTCH</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SCOTCH</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SCOTCH engaged DeForest to review and restructure its corporate and labour framework following the introduction of Mexico’s specialised services regime (REPSE).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José Alberto Díaz Méndez led the multidisciplinary engagement, which combined labour, corporate and regulatory advice.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DeForest reviewed SCOTCH’s corporate structure, specialised services model, bylaws and REPSE registration, and audited more than 80 suppliers to assess the appropriate regulatory treatment of specialised services agreements.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p>
      <w:pPr>
        <w:spacing w:after="100" w:before="200"/>
        <w:jc w:val="center"/>
      </w:pPr>
      <w:r>
        <w:rPr>
          <w:rFonts w:ascii="Times New Roman" w:cs="Times New Roman" w:eastAsia="Times New Roman" w:hAnsi="Times New Roman"/>
          <w:b/>
          <w:bCs/>
          <w:sz w:val="24"/>
          <w:szCs w:val="24"/>
        </w:rPr>
        <w:t xml:space="preserve">E. CONFIDENTIAL INFORMATION</w:t>
      </w:r>
    </w:p>
    <w:p>
      <w:pPr>
        <w:spacing w:after="200"/>
      </w:pPr>
      <w:r>
        <w:rPr>
          <w:rFonts w:ascii="Times New Roman" w:cs="Times New Roman" w:eastAsia="Times New Roman" w:hAnsi="Times New Roman"/>
          <w:i/>
          <w:iCs/>
          <w:sz w:val="16"/>
          <w:szCs w:val="16"/>
        </w:rPr>
        <w:t xml:space="preserve">All information in section 'E' is considered CONFIDENTIAL and NOT FOR PUBLICATION. Information in this section will only be used for our internal ranking purposes. If any part of a matter is confidential it should be included in this section 'E' not section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E0 –</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CONFIDENTIAL CLIENTS – List of this department's CONFIDENTIAL clients. Please indicate whether a client is a new client (within the last 12 months). If this information is not known, leave the field blank.</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 of Client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New Client (Y/N)</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Mextypsa, S.A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2</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Bonatti SpA, Bonatti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3</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SCHAEFFLER</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4</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GeNI de México,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5</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Nueva Empresa, S.C.</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6</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Brose México, S.A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7</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Private client (Enerflex)</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8</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Empresa Tekia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9</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BADAK</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10</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Volkswagen de México and VW Financial Services</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Robert Bosch de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12</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Coats de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13</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Benteler</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14</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Cinemex</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15</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Art Human</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16</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Natividad Abogados</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17</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Recicla Ambiente, S.A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18</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Solana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19</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Poliuretanos Summa Woodbridge (PSW)</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Mextypsa, S.A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acts as strategic labor counsel to Mextypsa, S.A. de C.V., an engineering and infrastructure company. The reported matter value is USD 1,144,523.00. The ongoing work includes the design of contractual and compliance structures for the Guadalajara Metro Line 4 Project, including project-based recruitment, workforce documentation, administration and demobilisation.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also represented Mextypsa in litigation arising from the Coahuila Wind Farm Project, where an adverse labor judgment threatened liabilities exceeding MXN 5.5 million. Through constitutional proceedings, the team challenged the judgment, restoring the client’s procedural rights and reopening the litigation.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DeForest currently manages more than 20 labour disputes for Mextypsa, involving aggregate exposure of approximately MXN 21.5 million. Javier Atzin Vallejo leads the matter, with Yrelia Barron and Roberto López Hernández on the team.</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USD 1,144,523.00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Yrelia Barron and Roberto López Hernández.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2</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Bonatti SpA, Bonatti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represented Bonatti SpA and Bonatti México in labour matters connected with energy infrastructure projects in Mexico, including the Energía Mayakan Pipeline Expansion, the Cuxtal II expansion, the Ojinaga-El Encino Gas Pipeline and operational support for ENI México’s projects in Tabasco. The labour litigation value is approximately USD 252,000. The matter is ongoing.</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advised on workforce documentation, project-specific employment structures, labour compliance, collective employment matters, dispute-prevention strategies and workforce demobilisation. It also managed more than 20 labour disputes arising during project execution, resolving the overwhelming majority through conciliation and reducing potential financial exposure by approximately 80%.</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team also prevented an imminent strike affecting operations linked to energy infrastructure. Javier Atzin Vallejo leads the matter, with Yrelia Barrón on the team.</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252,000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Yrelia Barrón.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3</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SCHAEFFLER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Following Schaeffler’s global acquisition of Vitesco Technologies, DeForest was appointed to lead a post-acquisition labour integration project in Mexico. The work involves harmonising employment structures across manufacturing facilities while maintaining uninterrupted operations.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DeForest designed and implemented the labour integration strategy for facilities in Puebla, Estado de México, Guanajuato, Jalisco, Morelos and Chihuahua. The project standardised employment agreements, collective bargaining agreements, internal regulations, mixed commissions and labour governance policies for a workforce exceeding 5,000 employees.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also manages 35 active labour proceedings involving suppliers and former employees, aligning litigation strategy with Schaeffler’s post-acquisition governance model. Eduardo Garduño leads the matter, with Ana Ruiz on the team.</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Ana Ruiz.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GeNI de México,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GeNI de México, S.A. de C.V., a supplier to Volkswagen, Audi, Ford and General Motors, engaged DeForest amid a deteriorating relationship with its union and an imminent risk of strike action that could have disrupted automotive supply chains.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DeForest led collective bargaining negotiations between management and union representatives and designed a renewed agreement intended to balance operational efficiency with employee expectations.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matter is ongoing. Eduardo Garduño and Carlos Rivera lead the engagement.</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 and Carlos Rivera.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Nueva Empresa, S.C.</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represented Nueva Empresa, S.C.</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in two wrongful-termination proceedings valued at approximately USD 171,494.21. After the labor court declined to recognise the legal standing of the company’s attorney-in-fact, disregarded the client’s defence and issued an adverse ruling, the firm challenged the decision through constitutional amparo proceedings.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Collegiate Court granted constitutional relief, ordering recognition of the attorney-in-fact’s legal standing and restoring Nueva Empresa’s right to present its defence. Javier Atzin Vallejo led the matter, with Yrelia Barrón as a team member.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171,494.21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Yrelia Barrón.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6</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Brose México, S.A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represented Brose México, S.A.</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de C.V. in an ongoing collective labour dispute concerning ownership of the collective bargaining agreement at one of the client’s manufacturing facilities in Querétaro.</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designed and implemented Brose México’s negotiation and litigation strategy in the union representation proceedings. Javier Atzin Vallejo leads the matter.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7</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Private client (Enerflex)</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 former senior executive obtained a labor judgment exceeding MXN 2.162 billion against Enerflex, with potential implications for PEMEX. The employee retained DeForest to develop an alternative strategy after negotiations had reached a deadlock.</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DeForest designed a mediation strategy alongside the judicial proceedings, establishing valuation criteria, governance-based negotiation parameters and structured settlement mechanisms. The strategy led to a series of settlement agreements.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matter remains ongoing, with the firm continuing to coordinate negotiations alongside PEMEX’s in-house legal team. Alejandro Salas de la Borbolla leads the matter.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Alejandro Salas de la Borbolla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8</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Empresa Tekia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represents Empresa Tekia, a Spanish engineering and technology company operating in Mexico, in complex legacy labour litigation arising from several years of judicial proceedings. The matters involve potential exposure approaching MXN16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has developed a coordinated strategy combining litigation, constitutional review and commercial negotiations.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It is managing negotiations concerning two adverse labour judgments valued at approximately MXN6.5 million and leads an amparo challenging the legal reasoning underlying one of those decisions. The matter is ongoing and is led by Jaime Bustamante.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Jaime Bustamante.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BADAK</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represented BADAK, a technology consultancy specialising in software development, in several wrongful termination disputes with aggregate exposure exceeding MXN 1.5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One claim had escalated to approximately MXN 1.06 million when constitutional relief became available.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combined constitutional litigation, procedural strategy and settlement discussions, reducing that claim to MXN 20,000. DeForest continued to manage the remaining proceedings. Javier Atzin Vallejo led the matter.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Volkswagen de México and VW Financial Services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represents Volkswagen de México and VW Financial Services in ongoing labor matters connected with their operations in Puebla. Volkswagen de México is described as one of Mexico’s largest industrial employers.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manages active labor proceedings involving aggregate exposure approaching MXN 280 million, while advising on employment agreements, internal workplace regulations, disciplinary procedures, corporate powers of attorney and workforce governance initiatives.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leads the matter, with José Alberto Díaz, Ana Ruiz, Erick Pérez and Ariam Barrientos on the team.</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Ana Ruiz, 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Robert Bosch de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advises Robert Bosch de México, which employs approximately 17,000 people across multiple business divisions, on labor governance for its industrial operations. The matter is ongoing and has a reported value of US$ 9,579,844.00.</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advises on the design and implementation of employment documentation, disciplinary procedures, labor governance policies and union-related matters.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It also leads employer registration processes for Bosch Rexroth and coordinates social security structures across the organisation. Javier Atzin Vallejo leads the matter, with José Alberto Díaz on the team.</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US$ 9,579,844.00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12</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Coats de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is advising Coats de México on an ongoing workforce transformation affecting manufacturing facilities in Puebla, Veracruz and Tlaxcala, with a reported matter value of approximately USD 675,000.00.</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developed the client’s employment framework, including employment agreements, labour policies, collective bargaining documentation and workforce-governance protocols.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It also negotiated union-related matters involving exposure exceeding MXN 12.5 million and led collective bargaining discussions during the restructuring process. Eduardo Garduño leads the matter, with José Alberto Díaz and Maximiliano Hernández on the team.</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675,000.00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and Maximiliano Hernández.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13</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Benteler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represented Benteler, an automotive supplier, in a union representativeness dispute affecting one of its manufacturing facilities in Puebla. The matter arose amid changes to Mexico’s collective labor framework and involved a challenge that could disrupt operations at the facility.</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firm’s work combined representation proceedings, collective bargaining strategy and negotiations with competing unions, with the stated aim of addressing the dispute while supporting compliance with Mexican labor legislation and employees’ collective rights.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DeForest also continues to implement employment agreements, internal labor policies and collective bargaining documentation for the client. Eduardo Garduño led the matter, with José Alberto Díaz, Erick Pérez and Ariam Barrientos on the team.</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Cinemex</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represents Cinemex, one of Mexico’s largest cinema operators, in managing a nationwide labour litigation portfolio following operational disruption caused by the COVID-19 pandemic. The portfolio comprises approximately 200 active labour proceedings, with aggregate exposure exceeding MXN60.5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coordinates litigation across multiple jurisdictions, leads conciliation proceedings, advises on workforce restructurings, and assists with employment documentation and preventive governance measures.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matter is ongoing and has a reported value of USD553,278.59. Eduardo Garduño and Fernanda Priego lead the team, with 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USD 553,278.59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 and Fernanda Priego.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Art Human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acts as external labour counsel to Art Human, a financial services company active in real estate financing and executive search. The ongoing matter is reported at US$104,000,000.45.</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manages Art Human’s labour litigation portfolio and conducts audits, strengthens internal controls, harmonises employment procedures and implements preventive governance measures in preparation for labour and social security inspections.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Three inspections by the Ministry of Labour and IMSS concluded without fines, despite combined potential exposure approaching MXN2 million. Jaime Bustamante leads the matter.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USD 104,000,000.45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Jaime Bustamante.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16</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Natividad Abogados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was appointed by Natividad Abogados, a specialist labour law firm in Mexico, as its regional correspondent counsel for labour litigation in central Mexico.</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manages approximately 45 labour proceedings on Natividad Abogados’ behalf, coordinating local litigation strategy, procedural management and court representation in line with the client’s national legal approach.</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leads the matter.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17</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Recicla Ambiente, S.A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advises Recicla Ambiente, S.A. de C.V., which operates approximately 700 employees across multiple Mexican states, on labor governance and collective labor strategy. The workforce’s geographic dispersion and the presence of multiple unions require coordinated management to maintain consistent employment standards.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advises on labor matters, collective bargaining and union negotiations in Puebla, Querétaro, Silao, Aguascalientes, Ramos Arizpe and Apodaca, coordinating employment strategy across these jurisdictions and supporting negotiations with different unions in line with local operational requirements.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leads the matter.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18</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Solana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Solana, a diversified automotive and real estate group employing more than 1,200 people, retained DeForest in connection with an employer substitution process affecting its workforce structure.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DeForest designed and executed the legal strategy to reactivate an employer registration that had previously been cancelled, enabling the employer substitution process to proceed.</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coordinated the labor transition with labor and regulatory authorities, seeking to ensure compliance with applicable employment regulations, workforce stability and continuity of the client’s operations during the restructuring. José Alberto Díaz Méndez led the matter.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Poliuretanos Summa Woodbridge (PSW)</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was engaged by Poliuretanos Summa Woodbridge (PSW) to design and implement a restructuring affecting approximately eight companies across multiple Mexican states. The project included separating business functions, redesigning the group’s employment model and creating a specialised services platform aligned with Mexico’s post-outsourcing regulatory framework.</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developed the legal strategy for the restructuring, including the creation of a specialised services entity, employer substitution processes, revised corporate purposes and a workforce transition across multiple operating companies.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DeForest also represents PSW in social security litigation before the Federal Court of Administrative Justice, challenging tax assessments relating to two manufacturing facilities, and continues to advise on broader labour and social security governance matters. José Alberto Díaz Méndez led the matter.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jc w:val="center"/>
    </w:pPr>
    <w:r>
      <w:rPr>
        <w:rFonts w:ascii="Times New Roman" w:cs="Times New Roman" w:eastAsia="Times New Roman" w:hAnsi="Times New Roman"/>
        <w:b/>
        <w:bCs/>
        <w:sz w:val="16"/>
        <w:szCs w:val="16"/>
      </w:rPr>
      <w:t xml:space="preserve">Please upload completed submissions online at https://myaccount.chambers.com</w:t>
    </w:r>
  </w:p>
  <w:p>
    <w:pPr>
      <w:spacing w:after="80"/>
      <w:jc w:val="center"/>
    </w:pPr>
    <w:r>
      <w:rPr>
        <w:rFonts w:ascii="Times New Roman" w:cs="Times New Roman" w:eastAsia="Times New Roman" w:hAnsi="Times New Roman"/>
        <w:sz w:val="14"/>
        <w:szCs w:val="14"/>
      </w:rPr>
      <w:t xml:space="preserve">You will need a username and password to manage your submission and profile.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rFonts w:ascii="Times New Roman" w:cs="Times New Roman" w:eastAsia="Times New Roman" w:hAnsi="Times New Roman"/>
        <w:color w:val="888888"/>
        <w:sz w:val="14"/>
        <w:szCs w:val="14"/>
      </w:rPr>
      <w:t xml:space="preserve">Ref: PAB006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80"/>
    </w:pPr>
    <w:rPr>
      <w:rFonts w:ascii="Times New Roman" w:cs="Times New Roman" w:eastAsia="Times New Roman" w:hAnsi="Times New Roman"/>
      <w:sz w:val="20"/>
      <w:szCs w:val="20"/>
    </w:rPr>
  </w:style>
  <w:style w:type="paragraph" w:styleId="Heading1">
    <w:name w:val="Heading 1"/>
    <w:basedOn w:val="Normal"/>
    <w:next w:val="Normal"/>
    <w:pPr>
      <w:spacing w:after="200" w:before="30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Chambers Submission - DeForest Abogados - Labour &amp; Employment</dc:title>
  <dc:creator>RankPilot 2026</dc:creator>
  <dc:description>Chambers &amp; Partners submission form for DeForest Abogados in Labour &amp; Employment</dc:description>
  <cp:lastModifiedBy>Un-named</cp:lastModifiedBy>
  <cp:revision>1</cp:revision>
  <dcterms:created xsi:type="dcterms:W3CDTF">2026-10-05T23:32:58.612Z</dcterms:created>
  <dcterms:modified xsi:type="dcterms:W3CDTF">2026-10-05T23:32:58.612Z</dcterms:modified>
</cp:coreProperties>
</file>

<file path=docProps/custom.xml><?xml version="1.0" encoding="utf-8"?>
<Properties xmlns="http://schemas.openxmlformats.org/officeDocument/2006/custom-properties" xmlns:vt="http://schemas.openxmlformats.org/officeDocument/2006/docPropsVTypes"/>
</file>