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Labour &amp; Employment</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Mexico</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23</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garduno@deforest.mx</w:t>
            </w:r>
          </w:p>
          <w:p>
            <w:pPr>
              <w:spacing w:after="40"/>
            </w:pPr>
            <w:r>
              <w:rPr>
                <w:rFonts w:ascii="Times New Roman" w:cs="Times New Roman" w:eastAsia="Times New Roman" w:hAnsi="Times New Roman"/>
                <w:sz w:val="18"/>
                <w:szCs w:val="18"/>
              </w:rPr>
              <w:t xml:space="preserve">Suggested ranking: Category pending</w:t>
            </w:r>
          </w:p>
          <w:p>
            <w:pPr>
              <w:spacing w:after="80"/>
            </w:pPr>
            <w:r>
              <w:rPr>
                <w:rFonts w:ascii="Times New Roman" w:cs="Times New Roman" w:eastAsia="Times New Roman" w:hAnsi="Times New Roman"/>
                <w:sz w:val="18"/>
                <w:szCs w:val="18"/>
              </w:rPr>
              <w:t xml:space="preserve">Eduardo Garduño is a partner in DeForest’s Labour &amp; Employment practice. He has led the labour integration following an automotive-sector acquisition, standardising employment agreements, collective bargaining agreements, internal regulations, mixed commissions and labour-governance policies across six Mexican states for a workforce exceeding 5,000 employees, while coordinating the alignment of 35 active labour proceedings with the post-acquisition governance model. He also leads collective bargaining and workforce-transformation mandates for industrial employers, including negotiations undertaken to address imminent strike risk and multi-facility restructuring.
His work includes nationwide litigation and employment-governance mandates for large employers, combining active labour proceedings with advice on employment documentation, disciplinary procedures, workplace regulations and preventive labour strategy. Eduardo also leads union-representation responses involving litigation, collective bargaining strategy and negotiations with competing unions.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bustamante@deforest.mx</w:t>
            </w:r>
          </w:p>
          <w:p>
            <w:pPr>
              <w:spacing w:after="40"/>
            </w:pPr>
            <w:r>
              <w:rPr>
                <w:rFonts w:ascii="Times New Roman" w:cs="Times New Roman" w:eastAsia="Times New Roman" w:hAnsi="Times New Roman"/>
                <w:sz w:val="18"/>
                <w:szCs w:val="18"/>
              </w:rPr>
              <w:t xml:space="preserve">Suggested ranking: Category pending</w:t>
            </w:r>
          </w:p>
          <w:p>
            <w:pPr>
              <w:spacing w:after="80"/>
            </w:pPr>
            <w:r>
              <w:rPr>
                <w:rFonts w:ascii="Times New Roman" w:cs="Times New Roman" w:eastAsia="Times New Roman" w:hAnsi="Times New Roman"/>
                <w:sz w:val="18"/>
                <w:szCs w:val="18"/>
              </w:rPr>
              <w:t xml:space="preserve">Jaime Bustamante advises employers on complex employment disputes, constitutional review, workplace investigations and preventive labour governance. He leads a legacy employment-litigation mandate combining proceedings with potential exposure approaching MXN 16 million, negotiations concerning adverse labour judgments and an amparo challenging the reasoning of one labour decision. He also leads internal-investigation work involving allegations against a senior executive, where the structured process prevented litigation valued at approximately MXN 750,000.
His recent work includes labour-litigation portfolio management, audits, internal-control enhancement and employment-procedure harmonisation. In one ongoing mandate, three Ministry of Labor and IMSS inspections concluded without fines despite combined potential exposure approaching MXN 2 million. Before joining DeForest, Jaime served as Legal Director for Mexico, Central and South America at ManpowerGroup.</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vallejo@deforest.mx</w:t>
            </w:r>
          </w:p>
          <w:p>
            <w:pPr>
              <w:spacing w:after="40"/>
            </w:pPr>
            <w:r>
              <w:rPr>
                <w:rFonts w:ascii="Times New Roman" w:cs="Times New Roman" w:eastAsia="Times New Roman" w:hAnsi="Times New Roman"/>
                <w:sz w:val="18"/>
                <w:szCs w:val="18"/>
              </w:rPr>
              <w:t xml:space="preserve">Suggested ranking: Category pending</w:t>
            </w:r>
          </w:p>
          <w:p>
            <w:pPr>
              <w:spacing w:after="80"/>
            </w:pPr>
            <w:r>
              <w:rPr>
                <w:rFonts w:ascii="Times New Roman" w:cs="Times New Roman" w:eastAsia="Times New Roman" w:hAnsi="Times New Roman"/>
                <w:sz w:val="18"/>
                <w:szCs w:val="18"/>
              </w:rPr>
              <w:t xml:space="preserve">Javier Atzin Vallejo focuses on labour, social security and regulatory-compliance mandates for industrial and infrastructure operations. He leads collective-labour matters involving union-representation proceedings, negotiation and litigation strategy, including a manufacturing-facility dispute in which the team prevented work stoppages and avoided escalation under the USMCA Rapid Response Labor Mechanism.
Javier also leads project-lifecycle labour work for energy infrastructure, designing workforce documentation, project-specific employment structures, compliance programmes, dispute-prevention measures and workforce demobilisation. His litigation work includes a constitutional amparo in which a Collegiate Court granted relief, ordered recognition of an attorney-in-fact’s standing and restored the client’s right to present its defence. He additionally leads employment, union-related and social-security governance work for an industrial employer with approximately 17,000 employees.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Raymundo Carreño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carreno@deforest.mx</w:t>
            </w:r>
          </w:p>
          <w:p>
            <w:pPr>
              <w:spacing w:after="80"/>
            </w:pPr>
            <w:r>
              <w:rPr>
                <w:rFonts w:ascii="Times New Roman" w:cs="Times New Roman" w:eastAsia="Times New Roman" w:hAnsi="Times New Roman"/>
                <w:sz w:val="18"/>
                <w:szCs w:val="18"/>
              </w:rPr>
              <w:t xml:space="preserve">Raymundo Carreño brings nearly four decades of in-house legal experience at a confidential client, including service as General Legal Director. His background includes regulatory transitions, union negotiations and organisational restructurings in the automotive sector. He contributes senior industrial-relations perspective to DeForest’s Labour &amp; Employment practice.</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Barreto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dirgeneral@mrb.mx</w:t>
            </w:r>
          </w:p>
          <w:p>
            <w:pPr>
              <w:spacing w:after="80"/>
            </w:pPr>
            <w:r>
              <w:rPr>
                <w:rFonts w:ascii="Times New Roman" w:cs="Times New Roman" w:eastAsia="Times New Roman" w:hAnsi="Times New Roman"/>
                <w:sz w:val="18"/>
                <w:szCs w:val="18"/>
              </w:rPr>
              <w:t xml:space="preserve">Edgar Barreto focuses on labour litigation, social security and internal governance for large-scale employers. His experience includes identifying contingencies, harmonising documentation in high-volume environments and advising industrial operations on IMSS processes, inspections and compliance mechanisms.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Andrés Cabrera Gómez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cabrera@deforest.mx</w:t>
            </w:r>
          </w:p>
          <w:p>
            <w:pPr>
              <w:spacing w:after="80"/>
            </w:pPr>
            <w:r>
              <w:rPr>
                <w:rFonts w:ascii="Times New Roman" w:cs="Times New Roman" w:eastAsia="Times New Roman" w:hAnsi="Times New Roman"/>
                <w:sz w:val="18"/>
                <w:szCs w:val="18"/>
              </w:rPr>
              <w:t xml:space="preserve">Andrés Cabrera Gómez leads the firm’s Labour &amp; Employment practice in the Bajío region. His practice focuses on litigation strategy and regional implementation in jurisdictions adapting to Mexico’s post-reform labour system, linking national employment frameworks with local execution for industrial clients.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perezg@deforest.mx</w:t>
            </w:r>
          </w:p>
          <w:p>
            <w:pPr>
              <w:spacing w:after="80"/>
            </w:pPr>
            <w:r>
              <w:rPr>
                <w:rFonts w:ascii="Times New Roman" w:cs="Times New Roman" w:eastAsia="Times New Roman" w:hAnsi="Times New Roman"/>
                <w:sz w:val="18"/>
                <w:szCs w:val="18"/>
              </w:rPr>
              <w:t xml:space="preserve">Erick Pérez is listed as a team member on DeForest matters involving nationwide labour litigation portfolios and union-representation disputes for industrial employers.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DeForest’s Labour &amp; Employment practice advises employers whose workforce stability is central to operational continuity. The team combines labour advisory, litigation, collective labour relations, social security, compliance and workforce governance for domestic and multinational businesses operating across Mexico.</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is particularly active in labour-intensive and regulated sectors, including automotive manufacturing, infrastructure, energy, logistics, technology, retail and financial services. Its work spans collective bargaining, union-representation disputes, workforce integration following acquisitions, employer substitutions, regulatory inspections, social-security matters, employment documentation, internal investigations and litigation portfolios involving large workforces and multiple jurisdictions.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advises employers whose combined workforces exceed one million employees throughout Mexico. Its Puebla team manages approximately 700 labour disputes, and, during the last twelve months, the team has assisted more than 20 clients in connection with labour inspections conducted by the Ministry of Labor.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team’s recent matters include a post-acquisition labour integration across six Mexican states for more than 5,000 employees; collective labour strategies that prevented work stoppages; nationwide litigation portfolios comprising approximately 200 active proceedings; and labour and social-security governance for industrial operations employing approximately 17,000 people. Eduardo Garduño is a partner in the Labour &amp; Employment practice, with Javier Atzin Vallejo and Jaime Bustamante contributing experience in collective labour relations, litigation, compliance, social security and workforce governance.</w:t>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seeks first-time recognition for its Labour &amp; Employment practice in Mexico. The team advises employers on matters where collective labour relations, workforce transformation, litigation exposure and regulatory compliance directly affect operational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Its representative work includes post-acquisition integration across six states for a workforce exceeding 5,000 employees; collective bargaining and union-representation matters in which the team prevented work stoppages; nationwide labour litigation portfolios involving approximately 200 active proceedings; and labour, union-related and social-security governance for an industrial workforce of approximately 17,000 employees. The practice also handles employer substitutions, REPSE-related restructuring, constitutional labour litigation, internal investigations and preventive inspection strategy.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submission demonstrates a coherent employer-side practice combining contentious and non-contentious capability, with visible leadership from Eduardo Garduño, Javier Atzin Vallejo and Jaime Bustamante. DeForest respectfully requests consideration for appropriate coverage in Labour &amp; Employment in Mexico.</w:t>
            </w:r>
          </w:p>
        </w:tc>
      </w:tr>
    </w:tbl>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200" w:before="200"/>
      </w:pPr>
      <w:r>
        <w:rPr>
          <w:rFonts w:ascii="Times New Roman" w:cs="Times New Roman" w:eastAsia="Times New Roman" w:hAnsi="Times New Roman"/>
          <w:i/>
          <w:iCs/>
          <w:sz w:val="20"/>
          <w:szCs w:val="20"/>
        </w:rPr>
        <w:t xml:space="preserve">No publishable matters submitted for this practice area. Confidential matters are listed in Section E.</w:t>
      </w:r>
    </w:p>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Radio Centro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20</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Following Schaeffler’s global acquisition of Vitesco Technologies, DeForest was appointed to lead the post-acquisition labour integration in Mexico. The mandate involved harmonising employment structures while maintaining operational continuity across manufacturing facilities.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DeForest designed and implemented the labour integration strategy across Puebla, Estado de México, Guanajuato, Jalisco, Morelos and Chihuahua. The work standardised employment agreements, collective bargaining agreements, internal regulations, mixed commissions and labour-governance policies for a workforce exceeding 5,000 employees. The firm also manages 35 active labour proceedings involving suppliers and former employees, aligning litigation strategy with the unified post-acquisition governance model. Eduardo Garduño led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Ana Ruiz.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Currently underway; DeForest has implemented the integration strategy and manages 35 active labour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Brose México in a sensitive collective labour dispute concerning ownership of the collective bargaining agreement at a manufacturing facility in Querétaro. The proceedings arose in the context of Mexico’s evolving collective labour relations framework and posed business-continuity risk for the client’s operations.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implemented the client’s negotiation and litigation strategy in the union-representation proceedings. Through proactive dialogue and procedural management, the team prevented work stoppages and avoided escalation under the USMCA Rapid Response Labor Mechanism. Javier Atzin Vallejo leads the ongoing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work stoppages were prevented and escalation under the USMCA Rapid Response Labor Mechanism was avoided.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GeNI de México, an automotive supply-chain company, in an ongoing collective bargaining mandate initiated amid an imminent strike risk that could have disrupted production for major automotive manufacturers.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led collective bargaining negotiations, rebuilding dialogue between management and union representatives and designing a renewed agreement that balanced operational efficiency with employee expectations. The negotiated framework prevented the strike, introduced process improvements and operational efficiencies, and preserved uninterrupted production. Eduardo Garduño and Carlos Rivera are identified as lead partners.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Carlos Rivera.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strike was prevented and the negotiated framework preserved uninterrupted production.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Coats de México on a workforce transformation across manufacturing facilities in Puebla, Veracruz and Tlaxcala. The mandate combines redesign of the employment framework with sensitive collective labour issues affecting manufacturing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developed employment agreements, labour policies, collective bargaining documentation and workforce-governance protocols. It also negotiated union-related matters involving exposure exceeding MXN 12.5 million and led collective bargaining discussions that enabled the client to preserve operational stability during the restructuring. Eduardo Garduño led the matter, supported by José Alberto Díaz and Maximiliano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675,000.00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and Maximiliano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collective bargaining discussions preserved operational stability during the restructuring.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coordinates a nationwide labour-litigation and workforce-governance mandate for Cinemex, a cinema operator with more than 11,000 employees. The mandate follows operational disruption generated by the COVID-19 pandemic and requires a unified strategy across multiple jurisdictions.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coordinates approximately 200 active labour proceedings with aggregate exposure exceeding MXN 60.5 million. It also leads conciliation proceedings, advises on workforce restructurings, strengthens employment documentation and refines preventive governance measures. Eduardo Garduño and Fernanda Priego lead the matter, with Erick Pérez and Ariam Barrientos listed as team members.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553,278.59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Fernanda Priego.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DeForest coordinates approximately 200 active labour proceedings and related preventive labour work.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Volkswagen de México and Volkswagen Financial Services on labour governance for their Mexican operations. The integrated mandate addresses active employment proceedings and preventive employment governance for a major industrial employer.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manages active labour proceedings involving aggregate exposure approaching MXN 280 million, while advising on employment agreements, internal workplace regulations, disciplinary procedures, corporate powers of attorney and broader workforce-governance initiatives in Puebla. Eduardo Garduño leads the work, supported by José Alberto Díaz, Ana Ruiz,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Ana Ruiz,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active labour proceedings and workforce-governance advice continue.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is advising Poliuretanos Summa Woodbridge on a comprehensive restructuring affecting approximately eight companies across multiple Mexican states. The project involves separation of business functions, redesign of the employment model and implementation of a specialised-services platform under Mexico’s post-outsourcing framework.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developed the restructuring strategy, including creation of a specialised-services entity, employer-substitution processes, redesign of corporate purposes and workforce transition across multiple operating companies. DeForest also represents the client in social-security litigation before the Federal Court of Administrative Justice challenging tax assessments relating to two manufacturing facilities. José Alberto Díaz Méndez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 final matter status is supplied; DeForest developed the legal strategy for the restructuring, including a specialised-services entity, employer substitution processes, redesigned corporate purposes and a workforce transition, and represents the client in social-security litigation.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Bonatti on labour governance for energy-infrastructure projects, including the Energía Mayakan Pipeline Expansion, the Cuxtal II expansion, the Ojinaga-El Encino Gas Pipeline and operational support for energy projects in Tabasco. The Energía Mayakan Pipeline Expansion is an infrastructure project valued at more than USD 2,000,000,000, while the Cuxtal II expansion is an infrastructure project valued at USD 2,500,000,000. These project values are distinct from the approximate USD 252,000 labour-litigation value.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implemented workforce documentation, project-specific employment structures, compliance programmes, dispute-prevention measures and workforce demobilisation. It managed more than 20 labour disputes arising during project execution, resolving the overwhelming majority through conciliation and reducing potential financial exposure by approximately 80%. The team also prevented an imminent strike threatening operations linked to strategic energy infrastructure. Javier Atzin Vallejo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252,000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team resolved the overwhelming majority of more than 20 disputes through conciliation and prevented an imminent strike.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for Benteler in a union-representativeness dispute at a Puebla manufacturing facility. The matter concerns competing unions in the context of Mexico’s reformed collective labour framework and carries potential operational-continuity implications.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is responsible for the client’s strategic response, combining litigation, collective bargaining strategy and continuous negotiations with the competing unions. Alongside the representation proceedings, DeForest continues to strengthen the employment-agreement, internal-policy and collective-bargaining documentation framework. Eduardo Garduño leads the mandate, supported by José Alberto Díaz,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DeForest continues the representation proceedings, collective-bargaining strategy and negotiations with competing unions.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BADAK in several wrongful-termination disputes with aggregate exposure exceeding MXN 1.5 million. One claim had reached approximately MXN 1.06 million when constitutional relief became available.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combined constitutional litigation, procedural strategy and commercial negotiation. Through the sequencing of legal actions and settlement discussions, it reduced one principal claim from approximately MXN 1.06 million to MXN 20,000, a reduction of approximately 98%, while continuing to manage the remaining proceedings. Javier Atzin Vallejo leads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One principal claim was reduced from approximately MXN 1.06 million to MXN 20,000; remaining proceedings continue.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Nueva Empresa, S.C. in two wrongful-termination proceedings involving a procedural dispute over recognition of the company’s attorney-in-fact. The labour court had refused to recognise the representation and issued an adverse ruling despite valid notarial documentation. The declared matter value is approximately USD 171,494.21; the financial exposure is separately approximately MXN 3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brought constitutional amparo proceedings challenging the ruling. The Collegiate Court granted constitutional relief, ordered recognition of the attorney’s legal standing and restored the client’s right to present its defence. Javier Atzin Vallejo leads the ongoing matter, supported by 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171,494.21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Collegiate Court granted constitutional relief, ordered recognition of legal standing and restored the client’s right to defend itself.</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Mextypsa on labour governance for infrastructure projects, including the Guadalajara Metro Line 4 Project and litigation arising from the Coahuila Wind Farm Project. The mandate combines project-based workforce structuring, compliance, workforce administration and dispute resolution.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Guadalajara Metro Line 4 Project is a USD 552 million infrastructure development. The firm designed its contractual and compliance architecture and supervised workforce demobilisation. In separate Coahuila Wind Farm litigation, an adverse labour judgment threatened liabilities exceeding MXN 5.5 million; DeForest challenged it through constitutional proceedings, restoring procedural rights and reopening the litigation. DeForest currently manages more than 20 labour disputes with aggregate exposure of approximately MXN 21.5 million. Through negotiation strategies and litigation management, the firm has consistently reduced financial exposure. Javier Atzin Vallejo leads the mandate, supported by Yrelia Barron and Roberto López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1,144,523.00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Barron and Roberto López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constitutional proceedings restored procedural rights and reopened the litigation, while more than 20 labour disputes continue to be managed.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Robert Bosch de México on labour and social-security governance for an industrial workforce of approximately 17,000 employees across multiple business divisions.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designs and implements employment documentation, disciplinary procedures, labour-governance policies and union-related measures. It also leads employer-registration processes for Bosch Rexroth and coordinates social-security structures across the organisation. Javier Atzin Vallejo leads the ongoing matter, supported by José Alberto Díaz.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US$ 9,579,844.00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DeForest continues employment, union-related, employer-registration and social-security coordination work.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Recicla Ambiente on labour governance, collective bargaining and union negotiations for a workforce of approximately 700 employees across several Mexican states. The employer operates with multiple unions and geographically dispersed operations.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coordinates employment strategy and collective negotiations in Puebla, Querétaro, Silao, Aguascalientes, Ramos Arizpe and Apodaca, adapting the approach to local operational requirements and different unions. Eduardo Garduño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DeForest continues multi-state labour, collective-bargaining and union-negotiation advice.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SCOTCH on the review and restructuring of its corporate and labour framework following the introduction of Mexico’s specialised-services regime. The work required coordinated labour, corporate and regulatory analysis of the client’s operating model.</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Working jointly across its corporate and labour practices, the firm reviewed the corporate structure, specialised-services model, bylaws and REPSE registration. It also audited more than 80 suppliers to determine the appropriate regulatory treatment of specialised-services agreements. José Alberto Díaz Méndez led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 final matter status is supplied; DeForest carried out a review of the corporate and labour framework and was conducting an audit of more than 80 suppliers.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Grupo Solana, a diversified automotive and real-estate group employing more than 1,200 people, on an employer-substitution process affecting its workforce structure. The matter required coordination with labour and regulatory authorities to preserve operational continuity during the restructuring.</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executed the legal strategy to reactivate a cancelled employer registration, allowing the employer-substitution process to proceed without disrupting operations. It coordinated the labour transition and compliance work throughout the restructuring. José Alberto Díaz Méndez led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employer registration was reactivated, enabling the employer-substitution process to proceed without disruption to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Radio Centro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Grupo Radio Centro on a sensitive internal employment investigation involving allegations against a senior executive. The matter required management of evidence gathering, legal analysis and employment-related decision-making while protecting confidentiality and organisational stability.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and supervised the investigation and conducted the process in accordance with applicable employment standards. The structured process prevented litigation valued at approximately MXN 750,000 and protected the client’s reputation during a sensitive period. Jaime Bustamante led the ongoing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US$40,000.00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investigation process prevented litigation valued at approximately MXN 750,000.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as external labour counsel to Art Human, managing its employment litigation portfolio while conducting labour and social-security audits, strengthening internal controls and harmonising employment procedures.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firm’s preventive governance work was tested in three inspections conducted by the Ministry of Labor and IMSS. Those inspections concluded without fines despite combined potential exposure approaching MXN 2 million. Jaime Bustamante leads the ongoing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104,000,000.45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three Ministry of Labor and IMSS inspections concluded without fines.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Empresa Tekia in complex legacy labour litigation involving potential exposure approaching MXN 16 million. The mandate also includes negotiations relating to two adverse labour judgments valued at approximately MXN 6.5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designed a coordinated litigation strategy and leads a constitutional amparo challenging the legal reasoning underpinning one labour decision. It integrates procedural strategy with commercial settlement discussions to contain overall financial risk. Jaime Bustamante leads the ongoing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DeForest continues the litigation, constitutional amparo and settlement discussions. No final outcome is reported.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manages labour litigation and preventive employment governance for Securitas de México as the client expands operations across Puebla, Mexico City, Torreón and Veracruz. The mandate concerns a geographically dispersed workforce in the private-security sector.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manages more than 50 labour proceedings involving aggregate exposure approaching MXN 10 million. It also advises on documentation, employment governance and risk mitigation across the client’s expanding national footprint, applying a coordinated approach to litigation and preventive advisory. Eduardo Garduño leads the mandate, supported by Maximiliano Hernández and Erick Pérez.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577,978.00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Maximiliano Hernández and Erick Pérez.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currently manages more than 50 labour proceedings and continues related employment-governance advice.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DeForest Abogados - Labour &amp; Employment</dc:title>
  <dc:creator>RankPilot 2026</dc:creator>
  <dc:description>Chambers &amp; Partners submission form for DeForest Abogados in Labour &amp; Employment</dc:description>
  <cp:lastModifiedBy>Un-named</cp:lastModifiedBy>
  <cp:revision>1</cp:revision>
  <dcterms:created xsi:type="dcterms:W3CDTF">2026-10-09T05:09:05.419Z</dcterms:created>
  <dcterms:modified xsi:type="dcterms:W3CDTF">2026-10-09T05:09:05.419Z</dcterms:modified>
</cp:coreProperties>
</file>

<file path=docProps/custom.xml><?xml version="1.0" encoding="utf-8"?>
<Properties xmlns="http://schemas.openxmlformats.org/officeDocument/2006/custom-properties" xmlns:vt="http://schemas.openxmlformats.org/officeDocument/2006/docPropsVTypes"/>
</file>