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Labour &amp; Employment</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23</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garduno@deforest.mx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Eduardo Garduño leads complex employer-side labour mandates for industrial and consumer-facing businesses in Mexico. He has led post-acquisition labour integration for a large workforce across multiple sites, including the harmonisation of employment arrangements, collective-labour documentation and workforce-governance frameworks. He also leads an ongoing integrated employment mandate involving active labour proceedings, alongside advice on employment documentation, disciplinary procedures and workplace governance.
His collective-labour work includes leading bargaining negotiations in an automotive supply-chain matter facing an imminent strike risk, as well as strategic responses to union-representativeness disputes. Garduño also co-leads a nationwide labour litigation platform and supports employers with geographically dispersed workforces through coordinated collective bargaining and union-negotiation strategies.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bustamante@deforest.mx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Jaime Bustamante advises employers on complex labour disputes, preventive compliance and sensitive workplace matters. He leads a mandate involving legacy employment litigation, negotiations relating to adverse labour judgments and a constitutional amparo challenging the reasoning of a labour decision. He also leads labour litigation management, audits and governance work for a regulated business, including inspection-related compliance.
His work further includes internal employment investigations involving senior-management allegations, evidence gathering, legal analysis and strategic decision-making. Bustamante combines contentious employment work with compliance reviews, workforce-governance measures and commercial negotiation for employers operating in regulated environments.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vallejo@deforest.mx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Javier Atzin Vallejo leads labour, social-security and employment-governance mandates for infrastructure and industrial employers. He leads the labour strategy for major energy-infrastructure projects, designing project-specific employment structures, compliance programmes, dispute-prevention measures and workforce-demobilisation arrangements. In that mandate, the firm managed labour disputes, used conciliation to address claims and helped prevent an imminent strike.
He also leads workforce structuring and constitutional labour litigation connected with major infrastructure projects, including a successful challenge to an adverse labour judgment that restored the client’s procedural rights and reopened the litigation. His collective-labour work includes a union-representation dispute in which the firm’s negotiation and litigation strategy prevented work stoppages.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Raymundo Carreño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carreno@deforest.mx</w:t>
            </w:r>
          </w:p>
          <w:p>
            <w:pPr>
              <w:spacing w:after="80"/>
            </w:pPr>
            <w:r>
              <w:rPr>
                <w:rFonts w:ascii="Times New Roman" w:cs="Times New Roman" w:eastAsia="Times New Roman" w:hAnsi="Times New Roman"/>
                <w:sz w:val="18"/>
                <w:szCs w:val="18"/>
              </w:rPr>
              <w:t xml:space="preserve">Raymundo Carreño brings nearly four decades of corporate labour-relations experience, including service as General Legal Director of a company. His career includes major regulatory transitions, union negotiations and organisational restructurings in the automotive sector, with a focus on matters where labour-law interpretation intersects with operational continuity and corporate strategy.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Barreto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dirgeneral@mrb.mx</w:t>
            </w:r>
          </w:p>
          <w:p>
            <w:pPr>
              <w:spacing w:after="80"/>
            </w:pPr>
            <w:r>
              <w:rPr>
                <w:rFonts w:ascii="Times New Roman" w:cs="Times New Roman" w:eastAsia="Times New Roman" w:hAnsi="Times New Roman"/>
                <w:sz w:val="18"/>
                <w:szCs w:val="18"/>
              </w:rPr>
              <w:t xml:space="preserve">Edgar Barreto focuses on labour litigation, social security and internal governance for large-scale employers. His practice includes the early identification of labour contingencies, harmonisation of employment documentation in high-volume settings and advice for industrial operations requiring predictable labour processes. He also has experience with IMSS procedures and inspection frameworks.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Andrés Cabrera Gómez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cabrera@deforest.mx</w:t>
            </w:r>
          </w:p>
          <w:p>
            <w:pPr>
              <w:spacing w:after="80"/>
            </w:pPr>
            <w:r>
              <w:rPr>
                <w:rFonts w:ascii="Times New Roman" w:cs="Times New Roman" w:eastAsia="Times New Roman" w:hAnsi="Times New Roman"/>
                <w:sz w:val="18"/>
                <w:szCs w:val="18"/>
              </w:rPr>
              <w:t xml:space="preserve">Andrés Cabrera Gómez leads the firm’s Labour &amp; Employment practice in the Bajío region. His work focuses on the implementation of litigation strategies in industrial jurisdictions adapting to Mexico’s post-reform labour system, connecting firm-wide labour frameworks with local operational requirements.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perezg@deforest.mx</w:t>
            </w:r>
          </w:p>
          <w:p>
            <w:pPr>
              <w:spacing w:after="80"/>
            </w:pPr>
            <w:r>
              <w:rPr>
                <w:rFonts w:ascii="Times New Roman" w:cs="Times New Roman" w:eastAsia="Times New Roman" w:hAnsi="Times New Roman"/>
                <w:sz w:val="18"/>
                <w:szCs w:val="18"/>
              </w:rPr>
              <w:t xml:space="preserve">Erick Pérez is a member of teams supporting employer-side labour matters involving nationwide litigation portfolios, union-representativeness disputes and employment-governance work for organisations with distributed workforces. He is identified in matters led by the firm’s Labour &amp; Employment partners alongside broader litigation and collective-labour teams.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 advises employers on Labour &amp; Employment matters where workforce stability, regulatory compliance and operational continuity are closely connected. The practice combines employment advisory, labour litigation, collective labour relations, social security, compliance and workforce governance for domestic and multinational businesses operating throughout Mexico.</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advises across the employment lifecycle, including hiring, day-to-day advisory, collective bargaining, restructurings, labour inspections, social-security matters, constitutional labour litigation and workforce integration following corporate transactions. Its work includes collective-bargaining negotiations and union-representation disputes, nationwide litigation portfolios, post-acquisition employment integration, specialised-services and REPSE projects, and labour governance for infrastructure and industrial operations. During the last twelve months, the team assisted more than 20 clients in connection with Ministry of Labor inspections and handled numerous labour and social-security compliance audits. The practice advises employers whose combined workforce exceeds one million employees throughout Mexico and includes approximately 700 labour disputes managed by the firm’s Puebla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Key partners include Eduardo Garduño, Jaime Bustamante, Javier Atzin Vallejo and Raymundo Carreño. Garduño leads employment integration, collective-labour and workforce-governance mandates for industrial employers. Bustamante combines complex employment disputes, workplace investigations, compliance and preventive governance. Vallejo leads labour and social-security work for infrastructure and manufacturing operations, including collective-labour disputes and constitutional proceedings. Carreño contributes longstanding corporate labour-relations experience developed in the automotive sector.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wider leadership group includes Andrés Cabrera Gómez in the Bajío region, together with lawyers focused on litigation, social security, labour compliance and workforce implementation. The practice advises employers across labour-intensive and regulated industries, including manufacturing, automotive, infrastructure, energy, logistics, technology, telecommunications, retail and financial services.</w:t>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 seeks recognition in Mexico Labour &amp; Employment for an employer-side practice that combines collective labour strategy, litigation, workforce restructuring, social-security work and preventive governance.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team’s recent work includes labour strategy for major projects, where it designed project workforce structures, managed related labour disputes, used conciliation to address claims and helped preserve operational continuity. It has also led post-acquisition employment integration for a large workforce across multiple locations; coordinated nationwide labour litigation platforms; managed significant industrial-employer proceedings; and handled union-representation disputes, collective bargaining and employment-governance implementation for manufacturing businesses.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Key partners include Eduardo Garduño, Jaime Bustamante, Javier Atzin Vallejo and Raymundo Carreño, supported by a broader team with experience in litigation, social security, labour compliance and regional implementation. We respectfully request coverage reflecting this demonstrated capability in complex employer-side Labour &amp; Employment work in Mexico.</w:t>
            </w:r>
          </w:p>
        </w:tc>
      </w:tr>
    </w:tbl>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200" w:before="200"/>
      </w:pPr>
      <w:r>
        <w:rPr>
          <w:rFonts w:ascii="Times New Roman" w:cs="Times New Roman" w:eastAsia="Times New Roman" w:hAnsi="Times New Roman"/>
          <w:i/>
          <w:iCs/>
          <w:sz w:val="20"/>
          <w:szCs w:val="20"/>
        </w:rPr>
        <w:t xml:space="preserve">No publishable matters submitted for this practice area. Confidential matters are listed in Section E.</w:t>
      </w:r>
    </w:p>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and Bonatti México have retained DeForest on an ongoing basis to support the labour-governance strategy for major Mexican energy-infrastructure projects, including the Energía Mayakan Pipeline Expansion, the Cuxtal II expansion, the Ojinaga-El Encino Gas Pipeline and operational support for ENI México projects in Tabasco. The record identifies labour-litigation value of approximately USD 252,000; separately, the Energía Mayakan Pipeline Expansion is valued at more than USD 2 billion and the Cuxtal II expansion at USD 2.5 billion.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Led by Javier Atzin Vallejo, with Yrelia Barrón, DeForest designed and implemented the employment architecture for the projects, including workforce documentation, project-specific employment structures, compliance programmes, dispute-prevention measures and workforce demobilisation. The team managed more than 20 labour disputes arising during project execution, resolved the overwhelming majority through conciliation, reduced potential financial exposure by approximately 80% and prevented an imminent strike that threatened linked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252,000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labour-governance, dispute-management and project-workforce mandate. The source records conciliation of the overwhelming majority of more than 20 disputes, an approximately 80% reduction in potential financial exposure and prevention of an imminent strike.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Following Schaeffler’s global acquisition of Vitesco Technologies, DeForest was appointed to lead the Mexican labour integration of multiple manufacturing facilities. Led by Eduardo Garduño, with Ana Ruiz, the team designed and implemented an integration strategy across Puebla, Estado de México, Guanajuato, Jalisco, Morelos and Chihuahua.</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work standardised employment agreements, collective bargaining agreements, internal regulations, mixed commissions and labour-governance policies for a workforce exceeding 5,000 employees. DeForest also manages 35 active labour proceedings involving suppliers and former employees, aligning the litigation approach with the client’s unified post-acquisition governance model.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Ruiz.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has designed and implemented the multi-state integration strategy and manages 35 active labour proceedings. The formal status field is N/A, while the narrative describes the integration as underway.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Volkswagen Financial Services continue to retain DeForest for an integrated Labour &amp; Employment mandate supporting their Mexican operations in Puebla. Led by Eduardo Garduño, with José Alberto Díaz, Ana Ruiz, Erick Pérez and Ariam Barrientos, the team manages active labour proceedings involving aggregate exposure approaching MXN 280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Alongside the contentious portfolio, DeForest advises on employment agreements, internal workplace regulations, disciplinary procedures, corporate powers of attorney and wider workforce-governance initiatives. The mandate combines dispute management with preventive employment strategy for a major industrial employer and its financial-services business.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integrated labour litigation and workforce-governance mandate, including active proceedings with aggregate exposure approaching MXN 280 million.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 retains DeForest on an ongoing basis for labour-governance, workforce-structuring and litigation work connected with major infrastructure projects. The declared matter value is USD 1,144,523.00. The mandate includes the Guadalajara Metro Line 4 Project, a USD 552 million development, and litigation arising from the Coahuila Wind Farm Project, where an adverse labour judgment threatened liabilities exceeding MXN 5.5 million. DeForest also manages more than 20 labour disputes representing aggregate exposure of approximately MXN 21.5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Led by Javier Atzin Vallejo, with Yrelia Barron and Roberto López Hernández, the team designed the contractual and compliance architecture for the Guadalajara Metro project, supervised workforce demobilisation and successfully challenged the adverse labour judgment through constitutional proceedings. The resulting relief restored the client’s procedural rights and reopened the litigation.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1,144,523.00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Barron and Roberto López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mandate. DeForest completed the project labour architecture and workforce-demobilisation work and obtained constitutional relief restoring procedural rights and reopening the litigation; it continues to manage more than 20 labour disputes.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 retained DeForest in an ongoing collective-labour dispute concerning ownership of the collective bargaining agreement at a Querétaro manufacturing facility. The matter arose in the context of Mexico’s changing collective-labour framework, where union-representation challenges can affect operational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the mandate. DeForest designed and implemented the client’s negotiation and litigation strategy, guiding the company through union-representation proceedings. Through dialogue and procedural management, the firm prevented work stoppages and avoided escalation under the USMCA Rapid Response Labor Mechanism while preserving the client’s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collective-labour and union-representation mandate. The source records prevention of work stoppages and avoidance of escalation under the USMCA Rapid Response Labor Mechanism.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 engaged DeForest during a period of deteriorating labour relations with its union, creating an imminent strike risk capable of disrupting automotive supply chains. The ongoing mandate concerns collective bargaining, labour relations and operational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and Carlos Rivera lead the matter. DeForest led collective bargaining negotiations, rebuilt dialogue between management and union representatives and designed a renewed agreement balancing operational efficiency with employee expectations. The negotiated framework prevented the strike, introduced process improvements and preserved uninterrupted production.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Carlos Rivera.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collective-bargaining mandate. The source records that the strike was prevented and production remained uninterrupted.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 retains DeForest on an ongoing basis to manage a nationwide labour litigation and employment-governance platform for a workforce of more than 11,000 employees. The declared matter value is USD 553,278.59; separately, the litigation portfolio comprises approximately 200 active labour proceedings with aggregate exposure exceeding MXN 60.5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and Fernanda Priego lead the mandate, supported by Erick Pérez and Ariam Barrientos. DeForest coordinates the litigation platform, leads conciliation proceedings, advises on workforce restructurings and strengthens employment documentation and preventive governance measures across the client’s nationwide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553,278.59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Fernanda Priego.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nationwide labour litigation, conciliation, restructuring and preventive-governance mandate involving approximately 200 active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 retained DeForest for an ongoing workforce transformation affecting manufacturing facilities in Puebla, Veracruz and Tlaxcala. The declared matter value is approximately USD 675,000.00. Separately, the union-related matters involved exposure exceeding MXN 12.5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with José Alberto Díaz and Maximiliano Hernández. The firm developed the client’s labour architecture, including employment agreements, labour policies, collective bargaining documentation and workforce-governance protocols. It also negotiated union-related matters and led collective bargaining discussions that preserved operational stability during the restructuring.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675,000.00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workforce-transformation and collective-bargaining mandate. The source records completion of the labour architecture and collective discussions that preserved operational stability through the restructuring.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 retained DeForest to design and implement a restructuring affecting approximately eight companies operating in multiple Mexican states. The project required separation of business functions, redesign of the group’s employment model and establishment of a specialised-services platform under Mexico’s post-outsourcing framework.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leads the mandate. DeForest developed the legal strategy for the restructuring, including the creation of a specialised-services entity, employer-substitution processes, redesigned corporate purposes and a workforce transition across the operating companies. The firm also represents the client in social-security litigation before the Federal Court of Administrative Justice challenging tax assessments relating to two manufacturing facilities.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 retained DeForest to implement an employer-substitution process affecting a workforce of more than 1,200 employees. The restructuring required coordination with labour and regulatory authorities after the client’s employer registration had been cancelled.</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led the legal strategy to reactivate the employer registration, enabling the employer substitution to proceed. DeForest coordinated the labour transition, ensured compliance with applicable employment rules and enabled the restructuring to proceed without disrupting the client’s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 retained DeForest to defend several high-exposure wrongful-termination claims with aggregate exposure exceeding MXN 1.5 million. One principal claim had increased to approximately MXN 1.06 million before constitutional relief became available.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the mandate. DeForest combined constitutional litigation, procedural strategy and settlement negotiations, reducing the principal claim from approximately MXN 1.06 million to MXN 20,000 — a reduction of approximately 98% — while continuing to manage the remaining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source records reduction of one principal claim from approximately MXN 1.06 million to MXN 20,000. Remaining proceedings continue.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 engaged DeForest in two wrongful-termination proceedings after a labour court refused to recognise the company attorney-in-fact, disregarded the defence and issued an adverse ruling despite notarial documentation confirming legal identity. The declared matter value is approximately USD 171,494.21; the record separately identifies financial exposure of approximately MXN 3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with Yrelia Barrón, challenged the ruling through constitutional amparo proceedings. The Collegiate Court granted constitutional relief, ordered recognition of the attorney’s legal standing and restored the client’s right to present its defence.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171,494.21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wrongful-termination litigation. The Collegiate Court granted constitutional relief, ordered recognition of legal standing and restored the client’s right to defend.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 retained DeForest in an ongoing mandate concerning legacy labour litigation with potential exposure approaching MXN 16 million. The firm is also managing negotiations relating to two adverse labour judgments valued at approximately MXN 6.5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Jaime Bustamante is lead partner. DeForest designed a coordinated litigation strategy and leads a constitutional amparo challenging the legal reasoning underpinning one of the labour decisions, integrating procedural strategy with commercial settlement discussions to contain overall financial risk.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litigation, negotiation and constitutional-amparo mandate. The final outcome of the amparo and settlement discussions is not stated.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 retained DeForest in connection with a union-representativeness dispute capable of disrupting operations at a Puebla manufacturing facility. The matter is situated within Mexico’s evolving collective-labour framework and combines contentious, collective-bargaining and preventive employment 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supported by José Alberto Díaz, Erick Pérez and Ariam Barrientos. DeForest assumed responsibility for the strategic response, combining litigation, collective-bargaining strategy and negotiations with competing unions. Alongside the representation proceedings, the team is strengthening employment agreements, internal labour policies and collective-bargaining documentation.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continues its strategic response to the union representativeness dispute through litigation, collective-bargaining strategy and negotiations with the competing unions. The firm is also implementing employment agreements, internal labour policies and collective-bargaining documentation to strengthen Benteler’s labour-governance platform.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 which employs approximately 700 people across multiple Mexican states, retained DeForest for labour governance and collective-labour strategy. The dispersed workforce and coexistence of multiple unions require coordinated management across local operations.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mandate. DeForest advises on labour, collective bargaining and union negotiations in Puebla, Querétaro, Silao, Aguascalientes, Ramos Arizpe and Apodaca, coordinating employment strategy across jurisdictions while supporting negotiations with different unions according to local operational requirements.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 engaged DeForest to review and restructure its corporate and labour framework following the introduction of Mexico’s specialised-services regime. The mandate required coordinated labour, corporate and regulatory advice concerning the client’s specialised-services model and REPSE compliance.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leads the matter. Working jointly across the corporate and labour practices, DeForest reviewed the corporate structure, specialised-services model, bylaws and REPSE registration, and audited more than 80 suppliers to determine the appropriate regulatory treatment of specialised-services agreements.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 retains DeForest on an ongoing basis as external labour counsel for employment litigation, audits, internal controls and preventive governance. The declared matter value is USD 104,000,000.45; this is distinct from the combined potential exposure approaching MXN 2 million associated with three inspections.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Jaime Bustamante leads the mandate. DeForest manages the labour litigation portfolio, conducts audits, harmonises employment procedures and implements preventive governance measures. Three separate inspections by the Ministry of Labor and IMSS concluded without fines despite their combined potential exposure.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104,000,000.45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labour litigation-management, audit and preventive-governance mandate. Three Ministry of Labor and IMSS inspections concluded without fines.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 retained DeForest to manage its labour litigation portfolio and strengthen preventive employment practices as it expanded across Puebla, Mexico City, Torreón and Veracruz. The declared matter value is approximately USD 577,978.00; separately, the portfolio comprises more than 50 labour proceedings with aggregate exposure approaching MXN 10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supported by Maximiliano Hernández and Erick Pérez. DeForest manages the proceedings while advising on employment documentation, labour governance and risk mitigation across the client’s national footprint, combining litigation management with preventive employment strategy.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577,978.00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Maximiliano Hernández and Erick Pérez.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currently manages more than 50 labour proceedings and provides ongoing documentation, employment-governance and risk-mitigation advice.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 retains DeForest on an ongoing basis for employment, union-related and social-security governance across an industrial organisation employing approximately 17,000 people. The declared matter value is USD 9,579,844.00.</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with José Alberto Díaz. DeForest advises on the design and implementation of employment documentation, disciplinary procedures, labour-governance policies and union-related matters. The team also leads employer-registration processes for Bosch Rexroth and coordinates social-security structures across the organisation.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US$ 9,579,844.00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employment, union-related and social-security governance mandate for an approximately 17,000-person industrial workforce.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DeForest Abogados - Labour &amp; Employment</dc:title>
  <dc:creator>RankPilot 2026</dc:creator>
  <dc:description>Chambers &amp; Partners submission form for DeForest Abogados in Labour &amp; Employment</dc:description>
  <cp:lastModifiedBy>Un-named</cp:lastModifiedBy>
  <cp:revision>1</cp:revision>
  <dcterms:created xsi:type="dcterms:W3CDTF">2026-10-09T05:52:53.241Z</dcterms:created>
  <dcterms:modified xsi:type="dcterms:W3CDTF">2026-10-09T05:52:53.241Z</dcterms:modified>
</cp:coreProperties>
</file>

<file path=docProps/custom.xml><?xml version="1.0" encoding="utf-8"?>
<Properties xmlns="http://schemas.openxmlformats.org/officeDocument/2006/custom-properties" xmlns:vt="http://schemas.openxmlformats.org/officeDocument/2006/docPropsVTypes"/>
</file>