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jc w:val="center"/>
      </w:pPr>
      <w:r>
        <w:rPr>
          <w:rFonts w:ascii="Times New Roman" w:cs="Times New Roman" w:eastAsia="Times New Roman" w:hAnsi="Times New Roman"/>
          <w:b/>
          <w:bCs/>
          <w:sz w:val="40"/>
          <w:szCs w:val="40"/>
        </w:rPr>
        <w:t xml:space="preserve">Chambers</w:t>
      </w:r>
    </w:p>
    <w:p>
      <w:pPr>
        <w:spacing w:after="300"/>
        <w:jc w:val="center"/>
      </w:pPr>
      <w:r>
        <w:rPr>
          <w:rFonts w:ascii="Times New Roman" w:cs="Times New Roman" w:eastAsia="Times New Roman" w:hAnsi="Times New Roman"/>
          <w:b/>
          <w:bCs/>
          <w:sz w:val="20"/>
          <w:szCs w:val="20"/>
        </w:rPr>
        <w:t xml:space="preserve">AND PARTNERS</w:t>
      </w:r>
    </w:p>
    <w:p>
      <w:pPr>
        <w:spacing w:after="300"/>
        <w:jc w:val="center"/>
      </w:pPr>
      <w:r>
        <w:rPr>
          <w:rFonts w:ascii="Times New Roman" w:cs="Times New Roman" w:eastAsia="Times New Roman" w:hAnsi="Times New Roman"/>
          <w:b/>
          <w:bCs/>
          <w:sz w:val="24"/>
          <w:szCs w:val="24"/>
        </w:rPr>
        <w:t xml:space="preserve">SUBMISSION FORM</w:t>
      </w:r>
    </w:p>
    <w:p>
      <w:pPr>
        <w:spacing w:after="40"/>
        <w:jc w:val="center"/>
      </w:pPr>
      <w:r>
        <w:rPr>
          <w:rFonts w:ascii="Times New Roman" w:cs="Times New Roman" w:eastAsia="Times New Roman" w:hAnsi="Times New Roman"/>
          <w:b/>
          <w:bCs/>
          <w:sz w:val="18"/>
          <w:szCs w:val="18"/>
        </w:rPr>
        <w:t xml:space="preserve">Please do not alter this submission template.</w:t>
      </w:r>
      <w:r>
        <w:rPr>
          <w:rFonts w:ascii="Times New Roman" w:cs="Times New Roman" w:eastAsia="Times New Roman" w:hAnsi="Times New Roman"/>
          <w:sz w:val="18"/>
          <w:szCs w:val="18"/>
        </w:rPr>
        <w:t xml:space="preserve"> If a question does not apply to you, please leave it blank.</w:t>
      </w:r>
    </w:p>
    <w:p>
      <w:pPr>
        <w:spacing w:after="200"/>
        <w:jc w:val="center"/>
      </w:pPr>
      <w:r>
        <w:rPr>
          <w:rFonts w:ascii="Times New Roman" w:cs="Times New Roman" w:eastAsia="Times New Roman" w:hAnsi="Times New Roman"/>
          <w:b/>
          <w:bCs/>
          <w:i/>
          <w:iCs/>
          <w:sz w:val="18"/>
          <w:szCs w:val="18"/>
        </w:rPr>
        <w:t xml:space="preserve">If something is confidential, mark it as such throughout.</w:t>
      </w:r>
    </w:p>
    <w:p>
      <w:pPr>
        <w:spacing w:after="100"/>
        <w:jc w:val="left"/>
      </w:pPr>
      <w:r>
        <w:rPr>
          <w:rFonts w:ascii="Times New Roman" w:cs="Times New Roman" w:eastAsia="Times New Roman" w:hAnsi="Times New Roman"/>
          <w:sz w:val="18"/>
          <w:szCs w:val="18"/>
        </w:rPr>
        <w:t xml:space="preserve">Please upload submissions online at: https://myaccount.chambers.com</w:t>
      </w:r>
    </w:p>
    <w:p>
      <w:pPr>
        <w:spacing w:after="400"/>
      </w:pPr>
      <w:r>
        <w:rPr>
          <w:rFonts w:ascii="Times New Roman" w:cs="Times New Roman" w:eastAsia="Times New Roman" w:hAnsi="Times New Roman"/>
          <w:sz w:val="18"/>
          <w:szCs w:val="18"/>
        </w:rPr>
        <w:t xml:space="preserve">You will need a username and password to manage your submission and profile. If you do not have an account with Chambers, please onboard here: How to Onboard With Chambers | Chambers and Partners</w:t>
      </w:r>
    </w:p>
    <w:p>
      <w:pPr>
        <w:spacing w:after="200" w:before="300"/>
        <w:jc w:val="center"/>
      </w:pPr>
      <w:r>
        <w:rPr>
          <w:rFonts w:ascii="Times New Roman" w:cs="Times New Roman" w:eastAsia="Times New Roman" w:hAnsi="Times New Roman"/>
          <w:b/>
          <w:bCs/>
          <w:sz w:val="24"/>
          <w:szCs w:val="24"/>
        </w:rPr>
        <w:t xml:space="preserve">A. PRELIMINARY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A1</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Firm name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DeForest Abogados</w:t>
            </w:r>
          </w:p>
        </w:tc>
      </w:tr>
    </w:tbl>
    <w:p>
      <w:pPr>
        <w:spacing w:after="120"/>
      </w:pPr>
      <w:r>
        <w:rPr>
          <w:rFonts w:ascii="Times New Roman" w:cs="Times New Roman" w:eastAsia="Times New Roman" w:hAnsi="Times New Roman"/>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A2</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Practice Area</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Labour &amp; Employment</w:t>
            </w:r>
          </w:p>
        </w:tc>
      </w:tr>
    </w:tbl>
    <w:p>
      <w:pPr>
        <w:spacing w:after="120"/>
      </w:pPr>
      <w:r>
        <w:rPr>
          <w:rFonts w:ascii="Times New Roman" w:cs="Times New Roman" w:eastAsia="Times New Roman" w:hAnsi="Times New Roman"/>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A3</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Location (Jurisdiction)</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Mexico</w:t>
            </w:r>
          </w:p>
        </w:tc>
      </w:tr>
    </w:tbl>
    <w:p>
      <w:pPr>
        <w:spacing w:after="120"/>
      </w:pPr>
      <w:r>
        <w:rPr>
          <w:rFonts w:ascii="Times New Roman" w:cs="Times New Roman" w:eastAsia="Times New Roman" w:hAnsi="Times New Roman"/>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0"/>
        <w:gridCol w:w="3120"/>
        <w:gridCol w:w="3120"/>
      </w:tblGrid>
      <w:tr>
        <w:tc>
          <w:tcPr>
            <w:tcW w:type="dxa" w:w="9360"/>
            <w:gridSpan w:val="3"/>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A4</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Contact person(s) to arrange interviews about this practice area</w:t>
            </w:r>
          </w:p>
        </w:tc>
      </w:tr>
      <w:tr>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Name</w:t>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Email</w:t>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Telephone number</w:t>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pageBreakBefore/>
        <w:spacing w:after="0" w:before="0" w:line="1"/>
      </w:pPr>
    </w:p>
    <w:p>
      <w:pPr>
        <w:spacing w:after="200" w:before="300"/>
        <w:jc w:val="center"/>
      </w:pPr>
      <w:r>
        <w:rPr>
          <w:rFonts w:ascii="Times New Roman" w:cs="Times New Roman" w:eastAsia="Times New Roman" w:hAnsi="Times New Roman"/>
          <w:b/>
          <w:bCs/>
          <w:sz w:val="24"/>
          <w:szCs w:val="24"/>
        </w:rPr>
        <w:t xml:space="preserve">B. DEPARTMENT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B1</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Department name (used by firm)</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spacing w:after="120"/>
      </w:pPr>
      <w:r>
        <w:rPr>
          <w:rFonts w:ascii="Times New Roman" w:cs="Times New Roman" w:eastAsia="Times New Roman" w:hAnsi="Times New Roman"/>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B2</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Number of partners in the department</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4</w:t>
            </w:r>
          </w:p>
        </w:tc>
      </w:tr>
      <w:tr>
        <w:tc>
          <w:tcPr>
            <w:tcW w:type="dxa" w:w="9360"/>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B3</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Number of other qualified lawyers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23</w:t>
            </w:r>
          </w:p>
        </w:tc>
      </w:tr>
    </w:tbl>
    <w:p>
      <w:pPr>
        <w:spacing w:after="120"/>
      </w:pPr>
      <w:r>
        <w:rPr>
          <w:rFonts w:ascii="Times New Roman" w:cs="Times New Roman" w:eastAsia="Times New Roman" w:hAnsi="Times New Roman"/>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0"/>
        <w:gridCol w:w="3120"/>
        <w:gridCol w:w="3120"/>
      </w:tblGrid>
      <w:tr>
        <w:tc>
          <w:tcPr>
            <w:tcW w:type="dxa" w:w="9360"/>
            <w:gridSpan w:val="3"/>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B7</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Head or Heads of department</w:t>
            </w:r>
          </w:p>
        </w:tc>
      </w:tr>
      <w:tr>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Name</w:t>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Email</w:t>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Telephone number</w:t>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spacing w:after="120"/>
      </w:pPr>
      <w:r>
        <w:rPr>
          <w:rFonts w:ascii="Times New Roman" w:cs="Times New Roman" w:eastAsia="Times New Roman" w:hAnsi="Times New Roman"/>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0"/>
        <w:gridCol w:w="3120"/>
        <w:gridCol w:w="3120"/>
      </w:tblGrid>
      <w:tr>
        <w:tc>
          <w:tcPr>
            <w:tcW w:type="dxa" w:w="9360"/>
            <w:gridSpan w:val="3"/>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B8</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Hires / Departures of partners in last 12 months 
(state if they joined or left, and name of the other firm)</w:t>
            </w:r>
          </w:p>
        </w:tc>
      </w:tr>
      <w:tr>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Name</w:t>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Joined / Departed</w:t>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Joined From / Destination (firm)</w:t>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pageBreakBefore/>
        <w:spacing w:after="0" w:before="0" w:line="1"/>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4260"/>
        <w:gridCol w:w="1000"/>
        <w:gridCol w:w="1000"/>
        <w:gridCol w:w="1600"/>
      </w:tblGrid>
      <w:tr>
        <w:tc>
          <w:tcPr>
            <w:tcW w:type="dxa" w:w="9360"/>
            <w:gridSpan w:val="5"/>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B9</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Information regarding Ranked and Unranked lawyers (including associates) in this practice area.</w:t>
            </w:r>
            <w:r>
              <w:rPr>
                <w:rFonts w:ascii="Times New Roman" w:cs="Times New Roman" w:eastAsia="Times New Roman" w:hAnsi="Times New Roman"/>
                <w:i/>
                <w:iCs/>
                <w:sz w:val="14"/>
                <w:szCs w:val="14"/>
              </w:rPr>
              <w:t xml:space="preserve">
Please do not repeat additional biographical information which is available on your website or via other sources. You may include a link to these biographies.</w:t>
            </w:r>
          </w:p>
        </w:tc>
      </w:tr>
      <w:tr>
        <w:tc>
          <w:tcPr>
            <w:tcW w:type="dxa" w:w="150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Name</w:t>
            </w:r>
          </w:p>
        </w:tc>
        <w:tc>
          <w:tcPr>
            <w:tcW w:type="dxa" w:w="42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Comments or Web Link</w:t>
            </w:r>
          </w:p>
        </w:tc>
        <w:tc>
          <w:tcPr>
            <w:tcW w:type="dxa" w:w="1000"/>
            <w:tcBorders>
              <w:top w:val="single" w:color="000000" w:sz="1"/>
              <w:left w:val="single" w:color="000000" w:sz="1"/>
              <w:bottom w:val="single" w:color="000000" w:sz="1"/>
              <w:right w:val="single" w:color="000000" w:sz="1"/>
            </w:tcBorders>
            <w:vAlign w:val="top"/>
          </w:tcPr>
          <w:p>
            <w:pPr>
              <w:spacing w:after="80"/>
              <w:jc w:val="center"/>
            </w:pPr>
            <w:r>
              <w:rPr>
                <w:rFonts w:ascii="Times New Roman" w:cs="Times New Roman" w:eastAsia="Times New Roman" w:hAnsi="Times New Roman"/>
                <w:b/>
                <w:bCs/>
                <w:sz w:val="18"/>
                <w:szCs w:val="18"/>
              </w:rPr>
              <w:t xml:space="preserve">Partner
Y/N</w:t>
            </w:r>
          </w:p>
        </w:tc>
        <w:tc>
          <w:tcPr>
            <w:tcW w:type="dxa" w:w="1000"/>
            <w:tcBorders>
              <w:top w:val="single" w:color="000000" w:sz="1"/>
              <w:left w:val="single" w:color="000000" w:sz="1"/>
              <w:bottom w:val="single" w:color="000000" w:sz="1"/>
              <w:right w:val="single" w:color="000000" w:sz="1"/>
            </w:tcBorders>
            <w:vAlign w:val="top"/>
          </w:tcPr>
          <w:p>
            <w:pPr>
              <w:spacing w:after="80"/>
              <w:jc w:val="center"/>
            </w:pPr>
            <w:r>
              <w:rPr>
                <w:rFonts w:ascii="Times New Roman" w:cs="Times New Roman" w:eastAsia="Times New Roman" w:hAnsi="Times New Roman"/>
                <w:b/>
                <w:bCs/>
                <w:sz w:val="18"/>
                <w:szCs w:val="18"/>
              </w:rPr>
              <w:t xml:space="preserve">Ranked
Y/N</w:t>
            </w:r>
          </w:p>
        </w:tc>
        <w:tc>
          <w:tcPr>
            <w:tcW w:type="dxa" w:w="1600"/>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b/>
                <w:bCs/>
                <w:sz w:val="14"/>
                <w:szCs w:val="14"/>
              </w:rPr>
              <w:t xml:space="preserve">Current/recent parental leave, significant childcare commitments or other part-time working arrangements, if applicable. For more information, please see our leave policy).</w:t>
            </w:r>
          </w:p>
        </w:tc>
      </w:tr>
      <w:tr>
        <w:tc>
          <w:tcPr>
            <w:tcW w:type="dxa" w:w="15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Eduardo Garduño</w:t>
            </w:r>
          </w:p>
        </w:tc>
        <w:tc>
          <w:tcPr>
            <w:tcW w:type="dxa" w:w="42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18"/>
                <w:szCs w:val="18"/>
              </w:rPr>
              <w:t xml:space="preserve">garduno@deforest.mx</w:t>
            </w:r>
          </w:p>
          <w:p>
            <w:pPr>
              <w:spacing w:after="40"/>
            </w:pPr>
            <w:r>
              <w:rPr>
                <w:rFonts w:ascii="Times New Roman" w:cs="Times New Roman" w:eastAsia="Times New Roman" w:hAnsi="Times New Roman"/>
                <w:sz w:val="18"/>
                <w:szCs w:val="18"/>
              </w:rPr>
              <w:t xml:space="preserve">Suggested ranking: Partner — individual recognition</w:t>
            </w:r>
          </w:p>
          <w:p>
            <w:pPr>
              <w:spacing w:after="80"/>
            </w:pPr>
            <w:r>
              <w:rPr>
                <w:rFonts w:ascii="Times New Roman" w:cs="Times New Roman" w:eastAsia="Times New Roman" w:hAnsi="Times New Roman"/>
                <w:sz w:val="18"/>
                <w:szCs w:val="18"/>
              </w:rPr>
              <w:t xml:space="preserve">Eduardo Garduño leads complex employer-side labour mandates for industrial and consumer-facing businesses in Mexico. He has led post-acquisition labour integration for a large workforce across multiple sites, including the harmonisation of employment arrangements, collective-labour documentation and workforce-governance frameworks. He also leads an ongoing integrated employment mandate involving active labour proceedings, alongside advice on employment documentation, disciplinary procedures and workplace governance.
His collective-labour work includes leading bargaining negotiations in an automotive supply-chain matter facing an imminent strike risk, as well as strategic responses to union-representativeness disputes. Garduño also co-leads a nationwide labour litigation platform and supports employers with geographically dispersed workforces through coordinated collective bargaining and union-negotiation strategies.</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Y</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
            </w:r>
          </w:p>
        </w:tc>
        <w:tc>
          <w:tcPr>
            <w:tcW w:type="dxa" w:w="16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15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Jaime Bustamante</w:t>
            </w:r>
          </w:p>
        </w:tc>
        <w:tc>
          <w:tcPr>
            <w:tcW w:type="dxa" w:w="42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18"/>
                <w:szCs w:val="18"/>
              </w:rPr>
              <w:t xml:space="preserve">bustamante@deforest.mx</w:t>
            </w:r>
          </w:p>
          <w:p>
            <w:pPr>
              <w:spacing w:after="40"/>
            </w:pPr>
            <w:r>
              <w:rPr>
                <w:rFonts w:ascii="Times New Roman" w:cs="Times New Roman" w:eastAsia="Times New Roman" w:hAnsi="Times New Roman"/>
                <w:sz w:val="18"/>
                <w:szCs w:val="18"/>
              </w:rPr>
              <w:t xml:space="preserve">Suggested ranking: Partner — individual recognition</w:t>
            </w:r>
          </w:p>
          <w:p>
            <w:pPr>
              <w:spacing w:after="80"/>
            </w:pPr>
            <w:r>
              <w:rPr>
                <w:rFonts w:ascii="Times New Roman" w:cs="Times New Roman" w:eastAsia="Times New Roman" w:hAnsi="Times New Roman"/>
                <w:sz w:val="18"/>
                <w:szCs w:val="18"/>
              </w:rPr>
              <w:t xml:space="preserve">Jaime Bustamante advises employers on complex labour disputes, preventive compliance and sensitive workplace matters. He leads a mandate involving legacy employment litigation, negotiations relating to adverse labour judgments and a constitutional amparo challenging the reasoning of a labour decision. He also leads labour litigation management, audits and governance work for a regulated business, including inspection-related compliance.
His work further includes internal employment investigations involving senior-management allegations, evidence gathering, legal analysis and strategic decision-making. Bustamante combines contentious employment work with compliance reviews, workforce-governance measures and commercial negotiation for employers operating in regulated environments.</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Y</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
            </w:r>
          </w:p>
        </w:tc>
        <w:tc>
          <w:tcPr>
            <w:tcW w:type="dxa" w:w="16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15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Javier Atzin Vallejo</w:t>
            </w:r>
          </w:p>
        </w:tc>
        <w:tc>
          <w:tcPr>
            <w:tcW w:type="dxa" w:w="42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18"/>
                <w:szCs w:val="18"/>
              </w:rPr>
              <w:t xml:space="preserve">vallejo@deforest.mx</w:t>
            </w:r>
          </w:p>
          <w:p>
            <w:pPr>
              <w:spacing w:after="40"/>
            </w:pPr>
            <w:r>
              <w:rPr>
                <w:rFonts w:ascii="Times New Roman" w:cs="Times New Roman" w:eastAsia="Times New Roman" w:hAnsi="Times New Roman"/>
                <w:sz w:val="18"/>
                <w:szCs w:val="18"/>
              </w:rPr>
              <w:t xml:space="preserve">Suggested ranking: Partner — individual recognition</w:t>
            </w:r>
          </w:p>
          <w:p>
            <w:pPr>
              <w:spacing w:after="80"/>
            </w:pPr>
            <w:r>
              <w:rPr>
                <w:rFonts w:ascii="Times New Roman" w:cs="Times New Roman" w:eastAsia="Times New Roman" w:hAnsi="Times New Roman"/>
                <w:sz w:val="18"/>
                <w:szCs w:val="18"/>
              </w:rPr>
              <w:t xml:space="preserve">Javier Atzin Vallejo leads labour, social-security and employment-governance mandates for infrastructure and industrial employers. He leads the labour strategy for major energy-infrastructure projects, designing project-specific employment structures, compliance programmes, dispute-prevention measures and workforce-demobilisation arrangements. In that mandate, the firm managed labour disputes, used conciliation to address claims and helped prevent an imminent strike.
He also leads workforce structuring and constitutional labour litigation connected with major infrastructure projects, including a successful challenge to an adverse labour judgment that restored the client’s procedural rights and reopened the litigation. His collective-labour work includes a union-representation dispute in which the firm’s negotiation and litigation strategy prevented work stoppages.</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Y</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
            </w:r>
          </w:p>
        </w:tc>
        <w:tc>
          <w:tcPr>
            <w:tcW w:type="dxa" w:w="16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15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Raymundo Carreño</w:t>
            </w:r>
          </w:p>
        </w:tc>
        <w:tc>
          <w:tcPr>
            <w:tcW w:type="dxa" w:w="42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18"/>
                <w:szCs w:val="18"/>
              </w:rPr>
              <w:t xml:space="preserve">carreno@deforest.mx</w:t>
            </w:r>
          </w:p>
          <w:p>
            <w:pPr>
              <w:spacing w:after="80"/>
            </w:pPr>
            <w:r>
              <w:rPr>
                <w:rFonts w:ascii="Times New Roman" w:cs="Times New Roman" w:eastAsia="Times New Roman" w:hAnsi="Times New Roman"/>
                <w:sz w:val="18"/>
                <w:szCs w:val="18"/>
              </w:rPr>
              <w:t xml:space="preserve">Raymundo Carreño brings nearly four decades of corporate labour-relations experience, including service as General Legal Director of a company. His career includes major regulatory transitions, union negotiations and organisational restructurings in the automotive sector, with a focus on matters where labour-law interpretation intersects with operational continuity and corporate strategy.</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Y</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
            </w:r>
          </w:p>
        </w:tc>
        <w:tc>
          <w:tcPr>
            <w:tcW w:type="dxa" w:w="16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15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Edgar Barreto</w:t>
            </w:r>
          </w:p>
        </w:tc>
        <w:tc>
          <w:tcPr>
            <w:tcW w:type="dxa" w:w="42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18"/>
                <w:szCs w:val="18"/>
              </w:rPr>
              <w:t xml:space="preserve">dirgeneral@mrb.mx</w:t>
            </w:r>
          </w:p>
          <w:p>
            <w:pPr>
              <w:spacing w:after="80"/>
            </w:pPr>
            <w:r>
              <w:rPr>
                <w:rFonts w:ascii="Times New Roman" w:cs="Times New Roman" w:eastAsia="Times New Roman" w:hAnsi="Times New Roman"/>
                <w:sz w:val="18"/>
                <w:szCs w:val="18"/>
              </w:rPr>
              <w:t xml:space="preserve">Edgar Barreto focuses on labour litigation, social security and internal governance for large-scale employers. His practice includes the early identification of labour contingencies, harmonisation of employment documentation in high-volume settings and advice for industrial operations requiring predictable labour processes. He also has experience with IMSS procedures and inspection frameworks.</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
            </w:r>
          </w:p>
        </w:tc>
        <w:tc>
          <w:tcPr>
            <w:tcW w:type="dxa" w:w="16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15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Andrés Cabrera Gómez</w:t>
            </w:r>
          </w:p>
        </w:tc>
        <w:tc>
          <w:tcPr>
            <w:tcW w:type="dxa" w:w="42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18"/>
                <w:szCs w:val="18"/>
              </w:rPr>
              <w:t xml:space="preserve">cabrera@deforest.mx</w:t>
            </w:r>
          </w:p>
          <w:p>
            <w:pPr>
              <w:spacing w:after="80"/>
            </w:pPr>
            <w:r>
              <w:rPr>
                <w:rFonts w:ascii="Times New Roman" w:cs="Times New Roman" w:eastAsia="Times New Roman" w:hAnsi="Times New Roman"/>
                <w:sz w:val="18"/>
                <w:szCs w:val="18"/>
              </w:rPr>
              <w:t xml:space="preserve">Andrés Cabrera Gómez leads the firm’s Labour &amp; Employment practice in the Bajío region. His work focuses on the implementation of litigation strategies in industrial jurisdictions adapting to Mexico’s post-reform labour system, connecting firm-wide labour frameworks with local operational requirements.</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Y</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
            </w:r>
          </w:p>
        </w:tc>
        <w:tc>
          <w:tcPr>
            <w:tcW w:type="dxa" w:w="16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15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Erick Pérez</w:t>
            </w:r>
          </w:p>
        </w:tc>
        <w:tc>
          <w:tcPr>
            <w:tcW w:type="dxa" w:w="42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18"/>
                <w:szCs w:val="18"/>
              </w:rPr>
              <w:t xml:space="preserve">perezg@deforest.mx</w:t>
            </w:r>
          </w:p>
          <w:p>
            <w:pPr>
              <w:spacing w:after="80"/>
            </w:pPr>
            <w:r>
              <w:rPr>
                <w:rFonts w:ascii="Times New Roman" w:cs="Times New Roman" w:eastAsia="Times New Roman" w:hAnsi="Times New Roman"/>
                <w:sz w:val="18"/>
                <w:szCs w:val="18"/>
              </w:rPr>
              <w:t xml:space="preserve">Erick Pérez is a member of teams supporting employer-side labour matters involving nationwide litigation portfolios, union-representativeness disputes and employment-governance work for organisations with distributed workforces. He is identified in matters led by the firm’s Labour &amp; Employment partners alongside broader litigation and collective-labour teams.</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
            </w:r>
          </w:p>
        </w:tc>
        <w:tc>
          <w:tcPr>
            <w:tcW w:type="dxa" w:w="16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spacing w:after="120"/>
      </w:pPr>
      <w:r>
        <w:rPr>
          <w:rFonts w:ascii="Times New Roman" w:cs="Times New Roman" w:eastAsia="Times New Roman" w:hAnsi="Times New Roman"/>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B10</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What is this department best known for?
Please include: industry sector expertise; key types of work; areas of recent growth.
Address any feedback on our recent coverage of your department (500 word count limit)</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DeForest Abogados advises employers on Labour &amp; Employment matters where workforce stability, regulatory compliance and operational continuity are closely connected. The practice combines employment advisory, labour litigation, collective labour relations, social security, compliance and workforce governance for domestic and multinational businesses operating throughout Mexico.</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team advises across the employment lifecycle, including hiring, day-to-day advisory, collective bargaining, restructurings, labour inspections, social-security matters, constitutional labour litigation and workforce integration following corporate transactions. Its work includes collective-bargaining negotiations and union-representation disputes, nationwide litigation portfolios, post-acquisition employment integration, specialised-services and REPSE projects, and labour governance for infrastructure and industrial operations. During the last twelve months, the team assisted more than 20 clients in connection with Ministry of Labor inspections and handled numerous labour and social-security compliance audits. The practice advises employers whose combined workforce exceeds one million employees throughout Mexico and includes approximately 700 labour disputes managed by the firm’s Puebla team.</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Key partners include Eduardo Garduño, Jaime Bustamante, Javier Atzin Vallejo and Raymundo Carreño. Garduño leads employment integration, collective-labour and workforce-governance mandates for industrial employers. Bustamante combines complex employment disputes, workplace investigations, compliance and preventive governance. Vallejo leads labour and social-security work for infrastructure and manufacturing operations, including collective-labour disputes and constitutional proceedings. Carreño contributes longstanding corporate labour-relations experience developed in the automotive sector.</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wider leadership group includes Andrés Cabrera Gómez in the Bajío region, together with lawyers focused on litigation, social security, labour compliance and workforce implementation. The practice advises employers across labour-intensive and regulated industries, including manufacturing, automotive, infrastructure, energy, logistics, technology, telecommunications, retail and financial services.</w:t>
            </w:r>
          </w:p>
        </w:tc>
      </w:tr>
    </w:tbl>
    <w:p>
      <w:pPr>
        <w:pageBreakBefore/>
        <w:spacing w:after="0" w:before="0" w:line="1"/>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0"/>
        <w:gridCol w:w="3120"/>
        <w:gridCol w:w="3120"/>
      </w:tblGrid>
      <w:tr>
        <w:tc>
          <w:tcPr>
            <w:tcW w:type="dxa" w:w="9360"/>
            <w:gridSpan w:val="3"/>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C1</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If you have used barristers / advocates in the UK, Australia, Hong Kong, India, Malaysia, New Zealand or Sri Lanka please provide the information below (Optional)</w:t>
            </w:r>
          </w:p>
        </w:tc>
      </w:tr>
      <w:tr>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Barrister/advocate name</w:t>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Firm / Set</w:t>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Comments</w:t>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spacing w:after="120"/>
      </w:pPr>
      <w:r>
        <w:rPr>
          <w:rFonts w:ascii="Times New Roman" w:cs="Times New Roman" w:eastAsia="Times New Roman" w:hAnsi="Times New Roman"/>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C2</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Feedback on our coverage of this practice area (Optional)</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DeForest Abogados seeks recognition in Mexico Labour &amp; Employment for an employer-side practice that combines collective labour strategy, litigation, workforce restructuring, social-security work and preventive governance.</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team’s recent work includes labour strategy for major projects, where it designed project workforce structures, managed related labour disputes, used conciliation to address claims and helped preserve operational continuity. It has also led post-acquisition employment integration for a large workforce across multiple locations; coordinated nationwide labour litigation platforms; managed significant industrial-employer proceedings; and handled union-representation disputes, collective bargaining and employment-governance implementation for manufacturing businesses.</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Key partners include Eduardo Garduño, Jaime Bustamante, Javier Atzin Vallejo and Raymundo Carreño, supported by a broader team with experience in litigation, social security, labour compliance and regional implementation. We respectfully request coverage reflecting this demonstrated capability in complex employer-side Labour &amp; Employment work in Mexico.</w:t>
            </w:r>
          </w:p>
        </w:tc>
      </w:tr>
    </w:tbl>
    <w:p>
      <w:pPr>
        <w:pageBreakBefore/>
        <w:spacing w:after="0" w:before="0" w:line="1"/>
      </w:pPr>
    </w:p>
    <w:p>
      <w:pPr>
        <w:spacing w:after="100" w:before="200"/>
        <w:jc w:val="center"/>
      </w:pPr>
      <w:r>
        <w:rPr>
          <w:rFonts w:ascii="Times New Roman" w:cs="Times New Roman" w:eastAsia="Times New Roman" w:hAnsi="Times New Roman"/>
          <w:b/>
          <w:bCs/>
          <w:sz w:val="24"/>
          <w:szCs w:val="24"/>
        </w:rPr>
        <w:t xml:space="preserve">D. PUBLISHABLE INFORMATION</w:t>
      </w:r>
    </w:p>
    <w:p>
      <w:pPr>
        <w:spacing w:after="200"/>
      </w:pPr>
      <w:r>
        <w:rPr>
          <w:rFonts w:ascii="Times New Roman" w:cs="Times New Roman" w:eastAsia="Times New Roman" w:hAnsi="Times New Roman"/>
          <w:i/>
          <w:iCs/>
          <w:sz w:val="16"/>
          <w:szCs w:val="16"/>
        </w:rPr>
        <w:t xml:space="preserve">All information in section 'D' is considered PUBLISHABLE. Do not include any confidential information in this section. Confidential information can be included in section 'E'. Information in section 'D' may be printed in Chambers and Partners publications.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0"/>
        <w:gridCol w:w="3120"/>
        <w:gridCol w:w="3120"/>
      </w:tblGrid>
      <w:tr>
        <w:tc>
          <w:tcPr>
            <w:tcW w:type="dxa" w:w="9360"/>
            <w:gridSpan w:val="3"/>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D0 –</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PUBLISHABLE CLIENTS – List of this department's PUBLISHABLE clients. Please indicate whether a client is a new client (within the last 12 months). If this information is not known, leave the field blank.</w:t>
            </w:r>
          </w:p>
        </w:tc>
      </w:tr>
      <w:tr>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Name of Client</w:t>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New Client (Y/N)</w:t>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spacing w:after="200" w:before="200"/>
      </w:pPr>
      <w:r>
        <w:rPr>
          <w:rFonts w:ascii="Times New Roman" w:cs="Times New Roman" w:eastAsia="Times New Roman" w:hAnsi="Times New Roman"/>
          <w:i/>
          <w:iCs/>
          <w:sz w:val="20"/>
          <w:szCs w:val="20"/>
        </w:rPr>
        <w:t xml:space="preserve">No publishable matters submitted for this practice area. Confidential matters are listed in Section E.</w:t>
      </w:r>
    </w:p>
    <w:p>
      <w:pPr>
        <w:pageBreakBefore/>
        <w:spacing w:after="0" w:before="0" w:line="1"/>
      </w:pPr>
    </w:p>
    <w:p>
      <w:pPr>
        <w:spacing w:after="100" w:before="200"/>
        <w:jc w:val="center"/>
      </w:pPr>
      <w:r>
        <w:rPr>
          <w:rFonts w:ascii="Times New Roman" w:cs="Times New Roman" w:eastAsia="Times New Roman" w:hAnsi="Times New Roman"/>
          <w:b/>
          <w:bCs/>
          <w:sz w:val="24"/>
          <w:szCs w:val="24"/>
        </w:rPr>
        <w:t xml:space="preserve">E. CONFIDENTIAL INFORMATION</w:t>
      </w:r>
    </w:p>
    <w:p>
      <w:pPr>
        <w:spacing w:after="200"/>
      </w:pPr>
      <w:r>
        <w:rPr>
          <w:rFonts w:ascii="Times New Roman" w:cs="Times New Roman" w:eastAsia="Times New Roman" w:hAnsi="Times New Roman"/>
          <w:i/>
          <w:iCs/>
          <w:sz w:val="16"/>
          <w:szCs w:val="16"/>
        </w:rPr>
        <w:t xml:space="preserve">All information in section 'E' is considered CONFIDENTIAL and NOT FOR PUBLICATION. Information in this section will only be used for our internal ranking purposes. If any part of a matter is confidential it should be included in this section 'E' not section 'D'.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0"/>
        <w:gridCol w:w="3120"/>
        <w:gridCol w:w="3120"/>
      </w:tblGrid>
      <w:tr>
        <w:tc>
          <w:tcPr>
            <w:tcW w:type="dxa" w:w="9360"/>
            <w:gridSpan w:val="3"/>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E0 –</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CONFIDENTIAL CLIENTS – List of this department's CONFIDENTIAL clients. Please indicate whether a client is a new client (within the last 12 months). If this information is not known, leave the field blank.</w:t>
            </w:r>
          </w:p>
        </w:tc>
      </w:tr>
      <w:tr>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Name of Client</w:t>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New Client (Y/N)</w:t>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1</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Bonatti SpA, Bonatti México</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2</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SCHAEFFLER</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3</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Volkswagen de México and VW Financial Services</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4</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Mextypsa, S.A. de C.V.</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5</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Brose México, S.A. de C.V.</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6</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GeNI de México, S.A de C.V.</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7</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Cinemex</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8</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Coats de México</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9</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Poliuretanos Summa Woodbridge (PSW)</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10</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Grupo Solana</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11</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BADAK</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12</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Nueva Empresa, S.C.</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13</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Empresa Tekia</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14</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Benteler</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15</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Recicla Ambiente, S.A. de C.V.</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16</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SCOTCH</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17</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Art Human</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18</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Securitas de México</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19</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Robert Bosch de México</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pageBreakBefore/>
        <w:spacing w:after="0" w:before="0" w:line="1"/>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1</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Bonatti SpA, Bonatti México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Bonatti SpA and Bonatti México have retained DeForest on an ongoing basis to support the labour-governance strategy for major Mexican energy-infrastructure projects, including the Energía Mayakan Pipeline Expansion, the Cuxtal II expansion, the Ojinaga-El Encino Gas Pipeline and operational support for ENI México projects in Tabasco. The record identifies labour-litigation value of approximately USD 252,000; separately, the Energía Mayakan Pipeline Expansion is valued at more than USD 2 billion and the Cuxtal II expansion at USD 2.5 billion.</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Led by Javier Atzin Vallejo, with Yrelia Barrón, DeForest designed and implemented the employment architecture for the projects, including workforce documentation, project-specific employment structures, compliance programmes, dispute-prevention measures and workforce demobilisation. The team managed more than 20 labour disputes arising during project execution, resolved the overwhelming majority through conciliation, reduced potential financial exposure by approximately 80% and prevented an imminent strike that threatened linked operations.</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approx. USD 252,000</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Javier Atzin Vallejo.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Yrelia Barrón.</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Ongoing labour-governance, dispute-management and project-workforce mandate. The source records conciliation of the overwhelming majority of more than 20 disputes, an approximately 80% reduction in potential financial exposure and prevention of an imminent strike.</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pageBreakBefore/>
        <w:spacing w:after="0" w:before="0" w:line="1"/>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2</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SCHAEFFLER</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Following Schaeffler’s global acquisition of Vitesco Technologies, DeForest was appointed to lead the Mexican labour integration of multiple manufacturing facilities. Led by Eduardo Garduño, with Ana Ruiz, the team designed and implemented an integration strategy across Puebla, Estado de México, Guanajuato, Jalisco, Morelos and Chihuahua.</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work standardised employment agreements, collective bargaining agreements, internal regulations, mixed commissions and labour-governance policies for a workforce exceeding 5,000 employees. DeForest also manages 35 active labour proceedings involving suppliers and former employees, aligning the litigation approach with the client’s unified post-acquisition governance model.</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Eduardo Garduño.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Ana Ruiz.</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DeForest has designed and implemented the multi-state integration strategy and manages 35 active labour proceedings. The formal status field is N/A, while the narrative describes the integration as underway.</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pageBreakBefore/>
        <w:spacing w:after="0" w:before="0" w:line="1"/>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3</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Volkswagen de México and VW Financial Services</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Volkswagen de México and Volkswagen Financial Services continue to retain DeForest for an integrated Labour &amp; Employment mandate supporting their Mexican operations in Puebla. Led by Eduardo Garduño, with José Alberto Díaz, Ana Ruiz, Erick Pérez and Ariam Barrientos, the team manages active labour proceedings involving aggregate exposure approaching MXN 280 million.</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Alongside the contentious portfolio, DeForest advises on employment agreements, internal workplace regulations, disciplinary procedures, corporate powers of attorney and wider workforce-governance initiatives. The mandate combines dispute management with preventive employment strategy for a major industrial employer and its financial-services business.</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Eduardo Garduño.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José Alberto Díaz, Ana Ruiz, Erick Pérez and Ariam Barrientos.</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Ongoing integrated labour litigation and workforce-governance mandate, including active proceedings with aggregate exposure approaching MXN 280 million.</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pageBreakBefore/>
        <w:spacing w:after="0" w:before="0" w:line="1"/>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4</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Mextypsa, S.A. de C.V.</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Mextypsa, S.A. de C.V. retains DeForest on an ongoing basis for labour-governance, workforce-structuring and litigation work connected with major infrastructure projects. The declared matter value is USD 1,144,523.00. The mandate includes the Guadalajara Metro Line 4 Project, a USD 552 million development, and litigation arising from the Coahuila Wind Farm Project, where an adverse labour judgment threatened liabilities exceeding MXN 5.5 million. DeForest also manages more than 20 labour disputes representing aggregate exposure of approximately MXN 21.5 million.</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Led by Javier Atzin Vallejo, with Yrelia Barron and Roberto López Hernández, the team designed the contractual and compliance architecture for the Guadalajara Metro project, supervised workforce demobilisation and successfully challenged the adverse labour judgment through constitutional proceedings. The resulting relief restored the client’s procedural rights and reopened the litigation.</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USD 1,144,523.00</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Javier Atzin Vallejo.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Yrelia Barron and Roberto López Hernández.</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Ongoing mandate. DeForest completed the project labour architecture and workforce-demobilisation work and obtained constitutional relief restoring procedural rights and reopening the litigation; it continues to manage more than 20 labour disputes.</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pageBreakBefore/>
        <w:spacing w:after="0" w:before="0" w:line="1"/>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5</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Brose México, S.A. de C.V.</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Brose México, S.A. de C.V. retained DeForest in an ongoing collective-labour dispute concerning ownership of the collective bargaining agreement at a Querétaro manufacturing facility. The matter arose in the context of Mexico’s changing collective-labour framework, where union-representation challenges can affect operational continuity.</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Javier Atzin Vallejo leads the mandate. DeForest designed and implemented the client’s negotiation and litigation strategy, guiding the company through union-representation proceedings. Through dialogue and procedural management, the firm prevented work stoppages and avoided escalation under the USMCA Rapid Response Labor Mechanism while preserving the client’s operations.</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Javier Atzin Vallejo.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Ongoing collective-labour and union-representation mandate. The source records prevention of work stoppages and avoidance of escalation under the USMCA Rapid Response Labor Mechanism.</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pageBreakBefore/>
        <w:spacing w:after="0" w:before="0" w:line="1"/>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6</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GeNI de México, S.A de C.V.</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GeNI de México, S.A de C.V. engaged DeForest during a period of deteriorating labour relations with its union, creating an imminent strike risk capable of disrupting automotive supply chains. The ongoing mandate concerns collective bargaining, labour relations and operational continuity.</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Eduardo Garduño and Carlos Rivera lead the matter. DeForest led collective bargaining negotiations, rebuilt dialogue between management and union representatives and designed a renewed agreement balancing operational efficiency with employee expectations. The negotiated framework prevented the strike, introduced process improvements and preserved uninterrupted production.</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Eduardo Garduño and Carlos Rivera.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Ongoing collective-bargaining mandate. The source records that the strike was prevented and production remained uninterrupted.</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pageBreakBefore/>
        <w:spacing w:after="0" w:before="0" w:line="1"/>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7</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Cinemex</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Cinemex retains DeForest on an ongoing basis to manage a nationwide labour litigation and employment-governance platform for a workforce of more than 11,000 employees. The declared matter value is USD 553,278.59; separately, the litigation portfolio comprises approximately 200 active labour proceedings with aggregate exposure exceeding MXN 60.5 million.</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Eduardo Garduño and Fernanda Priego lead the mandate, supported by Erick Pérez and Ariam Barrientos. DeForest coordinates the litigation platform, leads conciliation proceedings, advises on workforce restructurings and strengthens employment documentation and preventive governance measures across the client’s nationwide operations.</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USD 553,278.59</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Eduardo Garduño and Fernanda Priego.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Erick Pérez and Ariam Barrientos.</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Ongoing nationwide labour litigation, conciliation, restructuring and preventive-governance mandate involving approximately 200 active proceedings.</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pageBreakBefore/>
        <w:spacing w:after="0" w:before="0" w:line="1"/>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8</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Coats de México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Coats de México retained DeForest for an ongoing workforce transformation affecting manufacturing facilities in Puebla, Veracruz and Tlaxcala. The declared matter value is approximately USD 675,000.00. Separately, the union-related matters involved exposure exceeding MXN 12.5 million.</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Eduardo Garduño leads, with José Alberto Díaz and Maximiliano Hernández. The firm developed the client’s labour architecture, including employment agreements, labour policies, collective bargaining documentation and workforce-governance protocols. It also negotiated union-related matters and led collective bargaining discussions that preserved operational stability during the restructuring.</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Approx. USD 675,000.00</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Eduardo Garduño.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José Alberto Díaz and Maximiliano Hernández.</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Ongoing workforce-transformation and collective-bargaining mandate. The source records completion of the labour architecture and collective discussions that preserved operational stability through the restructuring.</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pageBreakBefore/>
        <w:spacing w:after="0" w:before="0" w:line="1"/>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9</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Poliuretanos Summa Woodbridge (PSW)</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Poliuretanos Summa Woodbridge (PSW) retained DeForest to design and implement a restructuring affecting approximately eight companies operating in multiple Mexican states. The project required separation of business functions, redesign of the group’s employment model and establishment of a specialised-services platform under Mexico’s post-outsourcing framework.</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José Alberto Díaz Méndez leads the mandate. DeForest developed the legal strategy for the restructuring, including the creation of a specialised-services entity, employer-substitution processes, redesigned corporate purposes and a workforce transition across the operating companies. The firm also represents the client in social-security litigation before the Federal Court of Administrative Justice challenging tax assessments relating to two manufacturing facilities.</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José Alberto Díaz Méndez.</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pageBreakBefore/>
        <w:spacing w:after="0" w:before="0" w:line="1"/>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10</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Grupo Solana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Grupo Solana retained DeForest to implement an employer-substitution process affecting a workforce of more than 1,200 employees. The restructuring required coordination with labour and regulatory authorities after the client’s employer registration had been cancelled.</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José Alberto Díaz Méndez led the legal strategy to reactivate the employer registration, enabling the employer substitution to proceed. DeForest coordinated the labour transition, ensured compliance with applicable employment rules and enabled the restructuring to proceed without disrupting the client’s operations.</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José Alberto Díaz Méndez.</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pageBreakBefore/>
        <w:spacing w:after="0" w:before="0" w:line="1"/>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11</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BADAK</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BADAK retained DeForest to defend several high-exposure wrongful-termination claims with aggregate exposure exceeding MXN 1.5 million. One principal claim had increased to approximately MXN 1.06 million before constitutional relief became available.</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Javier Atzin Vallejo leads the mandate. DeForest combined constitutional litigation, procedural strategy and settlement negotiations, reducing the principal claim from approximately MXN 1.06 million to MXN 20,000 — a reduction of approximately 98% — while continuing to manage the remaining proceedings.</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Javier Atzin Vallejo.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The source records reduction of one principal claim from approximately MXN 1.06 million to MXN 20,000. Remaining proceedings continue.</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pageBreakBefore/>
        <w:spacing w:after="0" w:before="0" w:line="1"/>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12</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Nueva Empresa, S.C.</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Nueva Empresa, S.C. engaged DeForest in two wrongful-termination proceedings after a labour court refused to recognise the company attorney-in-fact, disregarded the defence and issued an adverse ruling despite notarial documentation confirming legal identity. The declared matter value is approximately USD 171,494.21; the record separately identifies financial exposure of approximately MXN 3 million.</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Javier Atzin Vallejo, with Yrelia Barrón, challenged the ruling through constitutional amparo proceedings. The Collegiate Court granted constitutional relief, ordered recognition of the attorney’s legal standing and restored the client’s right to present its defence.</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Approx. USD 171,494.21</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Javier Atzin Vallejo.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Yrelia Barrón.</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Ongoing wrongful-termination litigation. The Collegiate Court granted constitutional relief, ordered recognition of legal standing and restored the client’s right to defend.</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pageBreakBefore/>
        <w:spacing w:after="0" w:before="0" w:line="1"/>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13</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Empresa Tekia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Empresa Tekia retained DeForest in an ongoing mandate concerning legacy labour litigation with potential exposure approaching MXN 16 million. The firm is also managing negotiations relating to two adverse labour judgments valued at approximately MXN 6.5 million.</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Jaime Bustamante is lead partner. DeForest designed a coordinated litigation strategy and leads a constitutional amparo challenging the legal reasoning underpinning one of the labour decisions, integrating procedural strategy with commercial settlement discussions to contain overall financial risk.</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Jaime Bustamante.</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Ongoing litigation, negotiation and constitutional-amparo mandate. The final outcome of the amparo and settlement discussions is not stated.</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pageBreakBefore/>
        <w:spacing w:after="0" w:before="0" w:line="1"/>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14</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Benteler</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Benteler retained DeForest in connection with a union-representativeness dispute capable of disrupting operations at a Puebla manufacturing facility. The matter is situated within Mexico’s evolving collective-labour framework and combines contentious, collective-bargaining and preventive employment work.</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Eduardo Garduño leads, supported by José Alberto Díaz, Erick Pérez and Ariam Barrientos. DeForest assumed responsibility for the strategic response, combining litigation, collective-bargaining strategy and negotiations with competing unions. Alongside the representation proceedings, the team is strengthening employment agreements, internal labour policies and collective-bargaining documentation.</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Eduardo Garduño.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José Alberto Díaz, Erick Pérez and Ariam Barrientos</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DeForest continues its strategic response to the union representativeness dispute through litigation, collective-bargaining strategy and negotiations with the competing unions. The firm is also implementing employment agreements, internal labour policies and collective-bargaining documentation to strengthen Benteler’s labour-governance platform.</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pageBreakBefore/>
        <w:spacing w:after="0" w:before="0" w:line="1"/>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15</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Recicla Ambiente, S.A. de C.V.</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Recicla Ambiente, S.A. de C.V., which employs approximately 700 people across multiple Mexican states, retained DeForest for labour governance and collective-labour strategy. The dispersed workforce and coexistence of multiple unions require coordinated management across local operations.</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Eduardo Garduño leads the mandate. DeForest advises on labour, collective bargaining and union negotiations in Puebla, Querétaro, Silao, Aguascalientes, Ramos Arizpe and Apodaca, coordinating employment strategy across jurisdictions while supporting negotiations with different unions according to local operational requirements.</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Eduardo Garduño.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pageBreakBefore/>
        <w:spacing w:after="0" w:before="0" w:line="1"/>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16</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SCOTCH</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SCOTCH engaged DeForest to review and restructure its corporate and labour framework following the introduction of Mexico’s specialised-services regime. The mandate required coordinated labour, corporate and regulatory advice concerning the client’s specialised-services model and REPSE compliance.</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José Alberto Díaz Méndez leads the matter. Working jointly across the corporate and labour practices, DeForest reviewed the corporate structure, specialised-services model, bylaws and REPSE registration, and audited more than 80 suppliers to determine the appropriate regulatory treatment of specialised-services agreements.</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José Alberto Díaz Méndez.</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pageBreakBefore/>
        <w:spacing w:after="0" w:before="0" w:line="1"/>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17</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Art Human</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Art Human retains DeForest on an ongoing basis as external labour counsel for employment litigation, audits, internal controls and preventive governance. The declared matter value is USD 104,000,000.45; this is distinct from the combined potential exposure approaching MXN 2 million associated with three inspections.</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Jaime Bustamante leads the mandate. DeForest manages the labour litigation portfolio, conducts audits, harmonises employment procedures and implements preventive governance measures. Three separate inspections by the Ministry of Labor and IMSS concluded without fines despite their combined potential exposure.</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USD 104,000,000.45</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Jaime Bustamante.</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Ongoing labour litigation-management, audit and preventive-governance mandate. Three Ministry of Labor and IMSS inspections concluded without fines.</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pageBreakBefore/>
        <w:spacing w:after="0" w:before="0" w:line="1"/>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18</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Securitas de México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Securitas de México retained DeForest to manage its labour litigation portfolio and strengthen preventive employment practices as it expanded across Puebla, Mexico City, Torreón and Veracruz. The declared matter value is approximately USD 577,978.00; separately, the portfolio comprises more than 50 labour proceedings with aggregate exposure approaching MXN 10 million.</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Eduardo Garduño leads, supported by Maximiliano Hernández and Erick Pérez. DeForest manages the proceedings while advising on employment documentation, labour governance and risk mitigation across the client’s national footprint, combining litigation management with preventive employment strategy.</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Approx. USD 577,978.00</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Eduardo Garduño.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Maximiliano Hernández and Erick Pérez.</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DeForest currently manages more than 50 labour proceedings and provides ongoing documentation, employment-governance and risk-mitigation advice.</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pageBreakBefore/>
        <w:spacing w:after="0" w:before="0" w:line="1"/>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19</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Robert Bosch de México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Robert Bosch de México retains DeForest on an ongoing basis for employment, union-related and social-security governance across an industrial organisation employing approximately 17,000 people. The declared matter value is USD 9,579,844.00.</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Javier Atzin Vallejo leads, with José Alberto Díaz. DeForest advises on the design and implementation of employment documentation, disciplinary procedures, labour-governance policies and union-related matters. The team also leads employer-registration processes for Bosch Rexroth and coordinates social-security structures across the organisation.</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US$ 9,579,844.00</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Javier Atzin Vallejo.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José Alberto Díaz.</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Ongoing employment, union-related and social-security governance mandate for an approximately 17,000-person industrial workforce.</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80"/>
      <w:jc w:val="center"/>
    </w:pPr>
    <w:r>
      <w:rPr>
        <w:rFonts w:ascii="Times New Roman" w:cs="Times New Roman" w:eastAsia="Times New Roman" w:hAnsi="Times New Roman"/>
        <w:b/>
        <w:bCs/>
        <w:sz w:val="16"/>
        <w:szCs w:val="16"/>
      </w:rPr>
      <w:t xml:space="preserve">Please upload completed submissions online at https://myaccount.chambers.com</w:t>
    </w:r>
  </w:p>
  <w:p>
    <w:pPr>
      <w:spacing w:after="80"/>
      <w:jc w:val="center"/>
    </w:pPr>
    <w:r>
      <w:rPr>
        <w:rFonts w:ascii="Times New Roman" w:cs="Times New Roman" w:eastAsia="Times New Roman" w:hAnsi="Times New Roman"/>
        <w:sz w:val="14"/>
        <w:szCs w:val="14"/>
      </w:rPr>
      <w:t xml:space="preserve">You will need a username and password to manage your submission and profile.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jc w:val="right"/>
    </w:pPr>
    <w:r>
      <w:rPr>
        <w:rFonts w:ascii="Times New Roman" w:cs="Times New Roman" w:eastAsia="Times New Roman" w:hAnsi="Times New Roman"/>
        <w:color w:val="888888"/>
        <w:sz w:val="14"/>
        <w:szCs w:val="14"/>
      </w:rPr>
      <w:t xml:space="preserve">Ref: PAB006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80"/>
    </w:pPr>
    <w:rPr>
      <w:rFonts w:ascii="Times New Roman" w:cs="Times New Roman" w:eastAsia="Times New Roman" w:hAnsi="Times New Roman"/>
      <w:sz w:val="20"/>
      <w:szCs w:val="20"/>
    </w:rPr>
  </w:style>
  <w:style w:type="paragraph" w:styleId="Heading1">
    <w:name w:val="Heading 1"/>
    <w:basedOn w:val="Normal"/>
    <w:next w:val="Normal"/>
    <w:pPr>
      <w:spacing w:after="200" w:before="300"/>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Chambers Submission - DeForest Abogados - Labour &amp; Employment</dc:title>
  <dc:creator>RankPilot 2026</dc:creator>
  <dc:description>Chambers &amp; Partners submission form for DeForest Abogados in Labour &amp; Employment</dc:description>
  <cp:lastModifiedBy>Un-named</cp:lastModifiedBy>
  <cp:revision>1</cp:revision>
  <dcterms:created xsi:type="dcterms:W3CDTF">2026-10-09T05:45:12.378Z</dcterms:created>
  <dcterms:modified xsi:type="dcterms:W3CDTF">2026-10-09T05:45:12.378Z</dcterms:modified>
</cp:coreProperties>
</file>

<file path=docProps/custom.xml><?xml version="1.0" encoding="utf-8"?>
<Properties xmlns="http://schemas.openxmlformats.org/officeDocument/2006/custom-properties" xmlns:vt="http://schemas.openxmlformats.org/officeDocument/2006/docPropsVTypes"/>
</file>