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BF1F79" w:rsidRDefault="0022294A">
      <w:pPr>
        <w:snapToGrid w:val="0"/>
        <w:jc w:val="center"/>
        <w:rPr>
          <w:b/>
          <w:bCs/>
          <w:sz w:val="14"/>
          <w:szCs w:val="14"/>
        </w:rPr>
      </w:pPr>
      <w:r>
        <w:rPr>
          <w:noProof/>
          <w:lang w:val="en-US" w:eastAsia="en-US" w:bidi="ar-SA"/>
        </w:rPr>
        <w:drawing>
          <wp:anchor distT="0" distB="0" distL="114300" distR="114300" simplePos="0" relativeHeight="251657728" behindDoc="0" locked="0" layoutInCell="1" allowOverlap="1">
            <wp:simplePos x="0" y="0"/>
            <wp:positionH relativeFrom="margin">
              <wp:posOffset>2125345</wp:posOffset>
            </wp:positionH>
            <wp:positionV relativeFrom="margin">
              <wp:posOffset>133350</wp:posOffset>
            </wp:positionV>
            <wp:extent cx="1856105" cy="536575"/>
            <wp:effectExtent l="0" t="0" r="0" b="0"/>
            <wp:wrapTopAndBottom/>
            <wp:docPr id="10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6105" cy="5365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F1F79" w:rsidRDefault="00BF1F79">
      <w:pPr>
        <w:snapToGrid w:val="0"/>
        <w:jc w:val="center"/>
        <w:rPr>
          <w:b/>
          <w:bCs/>
          <w:sz w:val="14"/>
          <w:szCs w:val="14"/>
        </w:rPr>
      </w:pPr>
    </w:p>
    <w:p w:rsidR="009812AD" w:rsidRDefault="009812AD">
      <w:pPr>
        <w:snapToGrid w:val="0"/>
        <w:jc w:val="center"/>
        <w:rPr>
          <w:b/>
          <w:bCs/>
          <w:sz w:val="28"/>
          <w:szCs w:val="28"/>
        </w:rPr>
      </w:pPr>
    </w:p>
    <w:p w:rsidR="00BF1F79" w:rsidRDefault="00BF1F79">
      <w:pPr>
        <w:snapToGrid w:val="0"/>
        <w:jc w:val="center"/>
        <w:rPr>
          <w:b/>
          <w:bCs/>
          <w:sz w:val="28"/>
          <w:szCs w:val="28"/>
        </w:rPr>
      </w:pPr>
      <w:r w:rsidRPr="005765D6">
        <w:rPr>
          <w:b/>
          <w:bCs/>
          <w:sz w:val="28"/>
          <w:szCs w:val="28"/>
        </w:rPr>
        <w:t>SUBMISSION</w:t>
      </w:r>
      <w:r w:rsidR="00C8271A">
        <w:rPr>
          <w:b/>
          <w:bCs/>
          <w:sz w:val="28"/>
          <w:szCs w:val="28"/>
        </w:rPr>
        <w:t xml:space="preserve"> FORM</w:t>
      </w:r>
    </w:p>
    <w:p w:rsidR="00C005A0" w:rsidRDefault="00C005A0">
      <w:pPr>
        <w:snapToGrid w:val="0"/>
        <w:jc w:val="center"/>
        <w:rPr>
          <w:b/>
          <w:bCs/>
        </w:rPr>
      </w:pPr>
    </w:p>
    <w:p w:rsidR="00A022E8" w:rsidRPr="00862408" w:rsidRDefault="00B9523C" w:rsidP="00862408">
      <w:pPr>
        <w:pStyle w:val="Sinespaciado"/>
        <w:jc w:val="center"/>
        <w:rPr>
          <w:sz w:val="22"/>
          <w:szCs w:val="22"/>
        </w:rPr>
      </w:pPr>
      <w:r w:rsidRPr="00862408">
        <w:rPr>
          <w:b/>
          <w:bCs/>
          <w:sz w:val="22"/>
          <w:szCs w:val="22"/>
        </w:rPr>
        <w:t>Please d</w:t>
      </w:r>
      <w:r w:rsidR="00A022E8" w:rsidRPr="00862408">
        <w:rPr>
          <w:b/>
          <w:bCs/>
          <w:sz w:val="22"/>
          <w:szCs w:val="22"/>
        </w:rPr>
        <w:t>o not alter this submission template</w:t>
      </w:r>
      <w:r w:rsidRPr="00862408">
        <w:rPr>
          <w:b/>
          <w:bCs/>
          <w:sz w:val="22"/>
          <w:szCs w:val="22"/>
        </w:rPr>
        <w:t xml:space="preserve">. </w:t>
      </w:r>
      <w:r w:rsidR="00640AC2" w:rsidRPr="00862408">
        <w:rPr>
          <w:sz w:val="22"/>
          <w:szCs w:val="22"/>
        </w:rPr>
        <w:t xml:space="preserve">If a question does not apply to you, please </w:t>
      </w:r>
      <w:r w:rsidR="00A022E8" w:rsidRPr="00862408">
        <w:rPr>
          <w:sz w:val="22"/>
          <w:szCs w:val="22"/>
        </w:rPr>
        <w:t>leave it blank.</w:t>
      </w:r>
    </w:p>
    <w:p w:rsidR="00C8271A" w:rsidRPr="00862408" w:rsidRDefault="00C8271A" w:rsidP="00862408">
      <w:pPr>
        <w:pStyle w:val="Sinespaciado"/>
        <w:jc w:val="center"/>
        <w:rPr>
          <w:b/>
          <w:sz w:val="22"/>
          <w:szCs w:val="22"/>
        </w:rPr>
      </w:pPr>
      <w:r w:rsidRPr="00862408">
        <w:rPr>
          <w:b/>
          <w:sz w:val="22"/>
          <w:szCs w:val="22"/>
        </w:rPr>
        <w:t>If something is confidential, mark it as such throughout.</w:t>
      </w:r>
    </w:p>
    <w:p w:rsidR="00C8271A" w:rsidRPr="00862408" w:rsidRDefault="00C8271A" w:rsidP="00862408">
      <w:pPr>
        <w:pStyle w:val="Sinespaciado"/>
        <w:jc w:val="center"/>
        <w:rPr>
          <w:sz w:val="22"/>
          <w:szCs w:val="22"/>
        </w:rPr>
      </w:pPr>
    </w:p>
    <w:p w:rsidR="00C8271A" w:rsidRDefault="00C8271A" w:rsidP="00C8271A">
      <w:r>
        <w:t xml:space="preserve">Please upload submissions online at: </w:t>
      </w:r>
      <w:hyperlink r:id="rId11" w:history="1">
        <w:r w:rsidR="002477C4" w:rsidRPr="000F7F20">
          <w:rPr>
            <w:rStyle w:val="Hipervnculo"/>
          </w:rPr>
          <w:t>https://myaccount.chambers.com</w:t>
        </w:r>
      </w:hyperlink>
      <w:r w:rsidR="002477C4">
        <w:t xml:space="preserve"> </w:t>
      </w:r>
    </w:p>
    <w:p w:rsidR="006E50BC" w:rsidRDefault="006E50BC" w:rsidP="006E50BC">
      <w:pPr>
        <w:rPr>
          <w:rFonts w:ascii="Verdana" w:hAnsi="Verdana"/>
        </w:rPr>
      </w:pPr>
    </w:p>
    <w:p w:rsidR="006E50BC" w:rsidRPr="006E50BC" w:rsidRDefault="006E50BC" w:rsidP="006E50BC">
      <w:pPr>
        <w:rPr>
          <w:rStyle w:val="Hipervnculo"/>
          <w:rFonts w:cs="Times New Roman"/>
          <w:color w:val="auto"/>
          <w:u w:val="none"/>
        </w:rPr>
      </w:pPr>
      <w:r w:rsidRPr="006E50BC">
        <w:rPr>
          <w:rFonts w:cs="Times New Roman"/>
        </w:rPr>
        <w:t xml:space="preserve">You will need a username and password to manage your submission and profile. If you do not have an account with Chambers, please </w:t>
      </w:r>
      <w:proofErr w:type="spellStart"/>
      <w:r w:rsidRPr="006E50BC">
        <w:rPr>
          <w:rFonts w:cs="Times New Roman"/>
        </w:rPr>
        <w:t>onboard</w:t>
      </w:r>
      <w:proofErr w:type="spellEnd"/>
      <w:r w:rsidRPr="006E50BC">
        <w:rPr>
          <w:rFonts w:cs="Times New Roman"/>
        </w:rPr>
        <w:t xml:space="preserve"> here: </w:t>
      </w:r>
      <w:hyperlink r:id="rId12" w:history="1">
        <w:r w:rsidRPr="006E50BC">
          <w:rPr>
            <w:rStyle w:val="Hipervnculo"/>
            <w:rFonts w:cs="Times New Roman"/>
          </w:rPr>
          <w:t xml:space="preserve">How to </w:t>
        </w:r>
        <w:proofErr w:type="spellStart"/>
        <w:r w:rsidRPr="006E50BC">
          <w:rPr>
            <w:rStyle w:val="Hipervnculo"/>
            <w:rFonts w:cs="Times New Roman"/>
          </w:rPr>
          <w:t>Onboard</w:t>
        </w:r>
        <w:proofErr w:type="spellEnd"/>
        <w:r w:rsidRPr="006E50BC">
          <w:rPr>
            <w:rStyle w:val="Hipervnculo"/>
            <w:rFonts w:cs="Times New Roman"/>
          </w:rPr>
          <w:t xml:space="preserve"> With Chambers | Chambers and Partners</w:t>
        </w:r>
      </w:hyperlink>
    </w:p>
    <w:p w:rsidR="00C8271A" w:rsidRDefault="00C8271A" w:rsidP="006E50BC">
      <w:pPr>
        <w:snapToGrid w:val="0"/>
        <w:rPr>
          <w:b/>
          <w:bCs/>
        </w:rPr>
      </w:pPr>
    </w:p>
    <w:p w:rsidR="00C8271A" w:rsidRDefault="00C8271A">
      <w:pPr>
        <w:snapToGrid w:val="0"/>
        <w:jc w:val="center"/>
        <w:rPr>
          <w:b/>
          <w:bCs/>
        </w:rPr>
      </w:pPr>
    </w:p>
    <w:p w:rsidR="00C8271A" w:rsidRDefault="00C8271A">
      <w:pPr>
        <w:snapToGrid w:val="0"/>
        <w:jc w:val="center"/>
        <w:rPr>
          <w:b/>
          <w:bCs/>
        </w:rPr>
      </w:pPr>
    </w:p>
    <w:p w:rsidR="00A022E8" w:rsidRDefault="00A022E8" w:rsidP="00A022E8">
      <w:pPr>
        <w:snapToGrid w:val="0"/>
        <w:jc w:val="center"/>
        <w:rPr>
          <w:b/>
          <w:bCs/>
        </w:rPr>
      </w:pPr>
      <w:r>
        <w:rPr>
          <w:b/>
          <w:bCs/>
        </w:rPr>
        <w:t>A. PRELIMINARY INFORMATION</w:t>
      </w:r>
    </w:p>
    <w:p w:rsidR="00A022E8" w:rsidRDefault="00A022E8" w:rsidP="00A022E8">
      <w:pPr>
        <w:pStyle w:val="Textoindependiente"/>
        <w:snapToGrid w:val="0"/>
        <w:spacing w:line="360" w:lineRule="auto"/>
        <w:rPr>
          <w:sz w:val="22"/>
          <w:szCs w:val="22"/>
        </w:rPr>
      </w:pPr>
    </w:p>
    <w:tbl>
      <w:tblPr>
        <w:tblW w:w="0" w:type="auto"/>
        <w:tblInd w:w="57" w:type="dxa"/>
        <w:tblLayout w:type="fixed"/>
        <w:tblCellMar>
          <w:top w:w="57" w:type="dxa"/>
          <w:left w:w="57" w:type="dxa"/>
          <w:bottom w:w="57" w:type="dxa"/>
          <w:right w:w="57" w:type="dxa"/>
        </w:tblCellMar>
        <w:tblLook w:val="0000" w:firstRow="0" w:lastRow="0" w:firstColumn="0" w:lastColumn="0" w:noHBand="0" w:noVBand="0"/>
      </w:tblPr>
      <w:tblGrid>
        <w:gridCol w:w="9699"/>
      </w:tblGrid>
      <w:tr w:rsidR="00A022E8" w:rsidTr="00B9523C">
        <w:tc>
          <w:tcPr>
            <w:tcW w:w="9699" w:type="dxa"/>
            <w:tcBorders>
              <w:top w:val="single" w:sz="4" w:space="0" w:color="C0C0C0"/>
              <w:left w:val="single" w:sz="4" w:space="0" w:color="C0C0C0"/>
              <w:bottom w:val="single" w:sz="4" w:space="0" w:color="C0C0C0"/>
              <w:right w:val="single" w:sz="4" w:space="0" w:color="C0C0C0"/>
            </w:tcBorders>
            <w:shd w:val="clear" w:color="auto" w:fill="auto"/>
          </w:tcPr>
          <w:p w:rsidR="00A022E8" w:rsidRDefault="00A022E8" w:rsidP="00B9523C">
            <w:pPr>
              <w:keepNext/>
              <w:snapToGrid w:val="0"/>
            </w:pPr>
            <w:r w:rsidRPr="00A022E8">
              <w:rPr>
                <w:sz w:val="14"/>
                <w:szCs w:val="14"/>
              </w:rPr>
              <w:t>A1</w:t>
            </w:r>
            <w:r>
              <w:rPr>
                <w:sz w:val="22"/>
                <w:szCs w:val="22"/>
              </w:rPr>
              <w:t xml:space="preserve"> </w:t>
            </w:r>
            <w:r w:rsidRPr="00A022E8">
              <w:rPr>
                <w:b/>
                <w:bCs/>
                <w:sz w:val="22"/>
                <w:szCs w:val="22"/>
              </w:rPr>
              <w:t>Firm name</w:t>
            </w:r>
          </w:p>
        </w:tc>
      </w:tr>
      <w:tr w:rsidR="00A022E8" w:rsidTr="00B9523C">
        <w:tc>
          <w:tcPr>
            <w:tcW w:w="9699" w:type="dxa"/>
            <w:tcBorders>
              <w:top w:val="single" w:sz="4" w:space="0" w:color="C0C0C0"/>
              <w:left w:val="single" w:sz="4" w:space="0" w:color="C0C0C0"/>
              <w:bottom w:val="single" w:sz="4" w:space="0" w:color="C0C0C0"/>
              <w:right w:val="single" w:sz="4" w:space="0" w:color="C0C0C0"/>
            </w:tcBorders>
            <w:shd w:val="clear" w:color="auto" w:fill="FFFFCC"/>
          </w:tcPr>
          <w:p w:rsidR="00A022E8" w:rsidRDefault="00DB5643" w:rsidP="00B9523C">
            <w:pPr>
              <w:keepNext/>
              <w:snapToGrid w:val="0"/>
              <w:spacing w:line="360" w:lineRule="auto"/>
              <w:rPr>
                <w:sz w:val="22"/>
                <w:szCs w:val="22"/>
              </w:rPr>
            </w:pPr>
            <w:r>
              <w:rPr>
                <w:sz w:val="22"/>
                <w:szCs w:val="22"/>
              </w:rPr>
              <w:t xml:space="preserve">Pérez Correa González</w:t>
            </w:r>
          </w:p>
        </w:tc>
      </w:tr>
    </w:tbl>
    <w:p w:rsidR="00A022E8" w:rsidRDefault="00A022E8" w:rsidP="00A022E8"/>
    <w:tbl>
      <w:tblPr>
        <w:tblW w:w="0" w:type="auto"/>
        <w:tblInd w:w="57" w:type="dxa"/>
        <w:tblLayout w:type="fixed"/>
        <w:tblCellMar>
          <w:top w:w="57" w:type="dxa"/>
          <w:left w:w="57" w:type="dxa"/>
          <w:bottom w:w="57" w:type="dxa"/>
          <w:right w:w="57" w:type="dxa"/>
        </w:tblCellMar>
        <w:tblLook w:val="0000" w:firstRow="0" w:lastRow="0" w:firstColumn="0" w:lastColumn="0" w:noHBand="0" w:noVBand="0"/>
      </w:tblPr>
      <w:tblGrid>
        <w:gridCol w:w="9699"/>
      </w:tblGrid>
      <w:tr w:rsidR="00A022E8" w:rsidTr="00B9523C">
        <w:tc>
          <w:tcPr>
            <w:tcW w:w="9699" w:type="dxa"/>
            <w:tcBorders>
              <w:top w:val="single" w:sz="4" w:space="0" w:color="C0C0C0"/>
              <w:left w:val="single" w:sz="4" w:space="0" w:color="C0C0C0"/>
              <w:bottom w:val="single" w:sz="4" w:space="0" w:color="C0C0C0"/>
              <w:right w:val="single" w:sz="4" w:space="0" w:color="C0C0C0"/>
            </w:tcBorders>
            <w:shd w:val="clear" w:color="auto" w:fill="auto"/>
          </w:tcPr>
          <w:p w:rsidR="00A022E8" w:rsidRDefault="00A022E8" w:rsidP="00B9523C">
            <w:pPr>
              <w:keepNext/>
              <w:snapToGrid w:val="0"/>
            </w:pPr>
            <w:r w:rsidRPr="00A022E8">
              <w:rPr>
                <w:sz w:val="14"/>
                <w:szCs w:val="14"/>
              </w:rPr>
              <w:t>A2</w:t>
            </w:r>
            <w:r>
              <w:rPr>
                <w:sz w:val="22"/>
                <w:szCs w:val="22"/>
              </w:rPr>
              <w:t xml:space="preserve"> </w:t>
            </w:r>
            <w:r w:rsidRPr="00A022E8">
              <w:rPr>
                <w:b/>
                <w:bCs/>
                <w:sz w:val="22"/>
                <w:szCs w:val="22"/>
              </w:rPr>
              <w:t>Practice Area</w:t>
            </w:r>
          </w:p>
        </w:tc>
      </w:tr>
      <w:tr w:rsidR="00A022E8" w:rsidTr="00B9523C">
        <w:tc>
          <w:tcPr>
            <w:tcW w:w="9699" w:type="dxa"/>
            <w:tcBorders>
              <w:top w:val="single" w:sz="4" w:space="0" w:color="C0C0C0"/>
              <w:left w:val="single" w:sz="4" w:space="0" w:color="C0C0C0"/>
              <w:bottom w:val="single" w:sz="4" w:space="0" w:color="C0C0C0"/>
              <w:right w:val="single" w:sz="4" w:space="0" w:color="C0C0C0"/>
            </w:tcBorders>
            <w:shd w:val="clear" w:color="auto" w:fill="FFFFCC"/>
          </w:tcPr>
          <w:p w:rsidR="00A022E8" w:rsidRDefault="009A08B2" w:rsidP="00B9523C">
            <w:pPr>
              <w:snapToGrid w:val="0"/>
              <w:spacing w:line="360" w:lineRule="auto"/>
              <w:rPr>
                <w:sz w:val="22"/>
                <w:szCs w:val="22"/>
              </w:rPr>
            </w:pPr>
            <w:r>
              <w:rPr>
                <w:sz w:val="22"/>
                <w:szCs w:val="22"/>
              </w:rPr>
              <w:t xml:space="preserve">Banking  Finance</w:t>
            </w:r>
          </w:p>
        </w:tc>
      </w:tr>
    </w:tbl>
    <w:p w:rsidR="00A022E8" w:rsidRDefault="00A022E8" w:rsidP="00A022E8"/>
    <w:tbl>
      <w:tblPr>
        <w:tblW w:w="0" w:type="auto"/>
        <w:tblInd w:w="57" w:type="dxa"/>
        <w:tblLayout w:type="fixed"/>
        <w:tblCellMar>
          <w:top w:w="57" w:type="dxa"/>
          <w:left w:w="57" w:type="dxa"/>
          <w:bottom w:w="57" w:type="dxa"/>
          <w:right w:w="57" w:type="dxa"/>
        </w:tblCellMar>
        <w:tblLook w:val="0000" w:firstRow="0" w:lastRow="0" w:firstColumn="0" w:lastColumn="0" w:noHBand="0" w:noVBand="0"/>
      </w:tblPr>
      <w:tblGrid>
        <w:gridCol w:w="9699"/>
      </w:tblGrid>
      <w:tr w:rsidR="00A022E8" w:rsidTr="00B9523C">
        <w:tc>
          <w:tcPr>
            <w:tcW w:w="9699" w:type="dxa"/>
            <w:tcBorders>
              <w:top w:val="single" w:sz="4" w:space="0" w:color="C0C0C0"/>
              <w:left w:val="single" w:sz="4" w:space="0" w:color="C0C0C0"/>
              <w:bottom w:val="single" w:sz="4" w:space="0" w:color="C0C0C0"/>
              <w:right w:val="single" w:sz="4" w:space="0" w:color="C0C0C0"/>
            </w:tcBorders>
            <w:shd w:val="clear" w:color="auto" w:fill="auto"/>
          </w:tcPr>
          <w:p w:rsidR="00A022E8" w:rsidRDefault="00A022E8" w:rsidP="00B9523C">
            <w:pPr>
              <w:keepNext/>
              <w:snapToGrid w:val="0"/>
            </w:pPr>
            <w:r w:rsidRPr="00A022E8">
              <w:rPr>
                <w:sz w:val="14"/>
                <w:szCs w:val="14"/>
              </w:rPr>
              <w:t>A3</w:t>
            </w:r>
            <w:r>
              <w:rPr>
                <w:sz w:val="22"/>
                <w:szCs w:val="22"/>
              </w:rPr>
              <w:t xml:space="preserve"> </w:t>
            </w:r>
            <w:r w:rsidRPr="00A022E8">
              <w:rPr>
                <w:b/>
                <w:bCs/>
                <w:sz w:val="22"/>
                <w:szCs w:val="22"/>
              </w:rPr>
              <w:t xml:space="preserve">Location </w:t>
            </w:r>
            <w:r w:rsidRPr="00A4584B">
              <w:rPr>
                <w:i/>
                <w:iCs/>
                <w:sz w:val="22"/>
                <w:szCs w:val="22"/>
              </w:rPr>
              <w:t>(Jurisdiction)</w:t>
            </w:r>
          </w:p>
        </w:tc>
      </w:tr>
      <w:tr w:rsidR="00A022E8" w:rsidTr="00B9523C">
        <w:tc>
          <w:tcPr>
            <w:tcW w:w="9699" w:type="dxa"/>
            <w:tcBorders>
              <w:top w:val="single" w:sz="4" w:space="0" w:color="C0C0C0"/>
              <w:left w:val="single" w:sz="4" w:space="0" w:color="C0C0C0"/>
              <w:bottom w:val="single" w:sz="4" w:space="0" w:color="C0C0C0"/>
              <w:right w:val="single" w:sz="4" w:space="0" w:color="C0C0C0"/>
            </w:tcBorders>
            <w:shd w:val="clear" w:color="auto" w:fill="FFFFCC"/>
          </w:tcPr>
          <w:p w:rsidR="00A022E8" w:rsidRDefault="009A08B2" w:rsidP="009A08B2">
            <w:pPr>
              <w:snapToGrid w:val="0"/>
              <w:spacing w:line="360" w:lineRule="auto"/>
              <w:rPr>
                <w:sz w:val="22"/>
                <w:szCs w:val="22"/>
              </w:rPr>
            </w:pPr>
            <w:r>
              <w:rPr>
                <w:sz w:val="22"/>
                <w:szCs w:val="22"/>
              </w:rPr>
              <w:t xml:space="preserve">Mexico</w:t>
            </w:r>
          </w:p>
        </w:tc>
      </w:tr>
    </w:tbl>
    <w:p w:rsidR="00A022E8" w:rsidRDefault="00A022E8" w:rsidP="00A022E8">
      <w:pPr>
        <w:pStyle w:val="InterTableSpacer"/>
      </w:pPr>
    </w:p>
    <w:tbl>
      <w:tblPr>
        <w:tblW w:w="9713" w:type="dxa"/>
        <w:tblInd w:w="55" w:type="dxa"/>
        <w:tblLayout w:type="fixed"/>
        <w:tblCellMar>
          <w:top w:w="55" w:type="dxa"/>
          <w:left w:w="55" w:type="dxa"/>
          <w:bottom w:w="55" w:type="dxa"/>
          <w:right w:w="55" w:type="dxa"/>
        </w:tblCellMar>
        <w:tblLook w:val="0000" w:firstRow="0" w:lastRow="0" w:firstColumn="0" w:lastColumn="0" w:noHBand="0" w:noVBand="0"/>
      </w:tblPr>
      <w:tblGrid>
        <w:gridCol w:w="2805"/>
        <w:gridCol w:w="4245"/>
        <w:gridCol w:w="2663"/>
      </w:tblGrid>
      <w:tr w:rsidR="00A022E8" w:rsidTr="00A022E8">
        <w:trPr>
          <w:tblHeader/>
        </w:trPr>
        <w:tc>
          <w:tcPr>
            <w:tcW w:w="9713" w:type="dxa"/>
            <w:gridSpan w:val="3"/>
            <w:tcBorders>
              <w:top w:val="single" w:sz="4" w:space="0" w:color="C0C0C0"/>
              <w:left w:val="single" w:sz="4" w:space="0" w:color="C0C0C0"/>
              <w:bottom w:val="single" w:sz="4" w:space="0" w:color="C0C0C0"/>
              <w:right w:val="single" w:sz="4" w:space="0" w:color="C0C0C0"/>
            </w:tcBorders>
            <w:shd w:val="clear" w:color="auto" w:fill="auto"/>
          </w:tcPr>
          <w:p w:rsidR="00A022E8" w:rsidRDefault="00A022E8" w:rsidP="00B9523C">
            <w:pPr>
              <w:keepNext/>
              <w:snapToGrid w:val="0"/>
            </w:pPr>
            <w:r w:rsidRPr="00A022E8">
              <w:rPr>
                <w:sz w:val="14"/>
                <w:szCs w:val="14"/>
              </w:rPr>
              <w:t>A4</w:t>
            </w:r>
            <w:r>
              <w:rPr>
                <w:sz w:val="22"/>
                <w:szCs w:val="22"/>
              </w:rPr>
              <w:t xml:space="preserve"> </w:t>
            </w:r>
            <w:r w:rsidRPr="00640AC2">
              <w:rPr>
                <w:b/>
                <w:bCs/>
                <w:sz w:val="22"/>
                <w:szCs w:val="22"/>
              </w:rPr>
              <w:t>Contact person</w:t>
            </w:r>
            <w:r w:rsidR="009B2AE2">
              <w:rPr>
                <w:b/>
                <w:bCs/>
                <w:sz w:val="22"/>
                <w:szCs w:val="22"/>
              </w:rPr>
              <w:t>(s)</w:t>
            </w:r>
            <w:r w:rsidRPr="00640AC2">
              <w:rPr>
                <w:b/>
                <w:bCs/>
                <w:sz w:val="22"/>
                <w:szCs w:val="22"/>
              </w:rPr>
              <w:t xml:space="preserve"> to arrange interviews about this practice area</w:t>
            </w:r>
          </w:p>
        </w:tc>
      </w:tr>
      <w:tr w:rsidR="00A022E8" w:rsidTr="00A022E8">
        <w:tblPrEx>
          <w:tblCellMar>
            <w:top w:w="57" w:type="dxa"/>
            <w:left w:w="57" w:type="dxa"/>
            <w:bottom w:w="57" w:type="dxa"/>
            <w:right w:w="57" w:type="dxa"/>
          </w:tblCellMar>
        </w:tblPrEx>
        <w:trPr>
          <w:tblHeader/>
        </w:trPr>
        <w:tc>
          <w:tcPr>
            <w:tcW w:w="2805" w:type="dxa"/>
            <w:tcBorders>
              <w:top w:val="single" w:sz="4" w:space="0" w:color="C0C0C0"/>
              <w:left w:val="single" w:sz="4" w:space="0" w:color="C0C0C0"/>
              <w:bottom w:val="single" w:sz="4" w:space="0" w:color="C0C0C0"/>
            </w:tcBorders>
            <w:shd w:val="clear" w:color="auto" w:fill="auto"/>
          </w:tcPr>
          <w:p w:rsidR="00A022E8" w:rsidRDefault="00A022E8" w:rsidP="00B9523C">
            <w:pPr>
              <w:keepNext/>
              <w:snapToGrid w:val="0"/>
              <w:jc w:val="center"/>
              <w:rPr>
                <w:sz w:val="22"/>
                <w:szCs w:val="22"/>
              </w:rPr>
            </w:pPr>
            <w:r>
              <w:rPr>
                <w:sz w:val="22"/>
                <w:szCs w:val="22"/>
              </w:rPr>
              <w:t>Name</w:t>
            </w:r>
          </w:p>
        </w:tc>
        <w:tc>
          <w:tcPr>
            <w:tcW w:w="4245" w:type="dxa"/>
            <w:tcBorders>
              <w:top w:val="single" w:sz="4" w:space="0" w:color="C0C0C0"/>
              <w:left w:val="single" w:sz="4" w:space="0" w:color="C0C0C0"/>
              <w:bottom w:val="single" w:sz="4" w:space="0" w:color="C0C0C0"/>
            </w:tcBorders>
            <w:shd w:val="clear" w:color="auto" w:fill="auto"/>
          </w:tcPr>
          <w:p w:rsidR="00A022E8" w:rsidRDefault="00A022E8" w:rsidP="00B9523C">
            <w:pPr>
              <w:keepNext/>
              <w:snapToGrid w:val="0"/>
              <w:jc w:val="center"/>
              <w:rPr>
                <w:sz w:val="22"/>
                <w:szCs w:val="22"/>
              </w:rPr>
            </w:pPr>
            <w:r>
              <w:rPr>
                <w:sz w:val="22"/>
                <w:szCs w:val="22"/>
              </w:rPr>
              <w:t>Email</w:t>
            </w:r>
          </w:p>
        </w:tc>
        <w:tc>
          <w:tcPr>
            <w:tcW w:w="2663" w:type="dxa"/>
            <w:tcBorders>
              <w:top w:val="single" w:sz="4" w:space="0" w:color="C0C0C0"/>
              <w:left w:val="single" w:sz="4" w:space="0" w:color="C0C0C0"/>
              <w:bottom w:val="single" w:sz="4" w:space="0" w:color="C0C0C0"/>
              <w:right w:val="single" w:sz="4" w:space="0" w:color="C0C0C0"/>
            </w:tcBorders>
            <w:shd w:val="clear" w:color="auto" w:fill="auto"/>
          </w:tcPr>
          <w:p w:rsidR="00A022E8" w:rsidRDefault="00A022E8" w:rsidP="00B9523C">
            <w:pPr>
              <w:keepNext/>
              <w:snapToGrid w:val="0"/>
              <w:jc w:val="center"/>
            </w:pPr>
            <w:r>
              <w:rPr>
                <w:sz w:val="22"/>
                <w:szCs w:val="22"/>
              </w:rPr>
              <w:t>Telephone number</w:t>
            </w:r>
          </w:p>
        </w:tc>
      </w:tr>
      <w:tr w:rsidR="00A022E8" w:rsidTr="001E03EC">
        <w:tblPrEx>
          <w:tblCellMar>
            <w:top w:w="57" w:type="dxa"/>
            <w:left w:w="57" w:type="dxa"/>
            <w:bottom w:w="57" w:type="dxa"/>
            <w:right w:w="57" w:type="dxa"/>
          </w:tblCellMar>
        </w:tblPrEx>
        <w:trPr>
          <w:trHeight w:val="436"/>
        </w:trPr>
        <w:tc>
          <w:tcPr>
            <w:tcW w:w="2805" w:type="dxa"/>
            <w:tcBorders>
              <w:top w:val="single" w:sz="4" w:space="0" w:color="C0C0C0"/>
              <w:left w:val="single" w:sz="4" w:space="0" w:color="C0C0C0"/>
              <w:bottom w:val="single" w:sz="4" w:space="0" w:color="C0C0C0"/>
            </w:tcBorders>
            <w:shd w:val="clear" w:color="auto" w:fill="FFFFCC"/>
          </w:tcPr>
          <w:p w:rsidR="00A022E8" w:rsidRDefault="009A08B2" w:rsidP="00B9523C">
            <w:pPr>
              <w:pStyle w:val="TableContents"/>
              <w:snapToGrid w:val="0"/>
              <w:rPr>
                <w:sz w:val="22"/>
                <w:szCs w:val="22"/>
              </w:rPr>
            </w:pPr>
            <w:r>
              <w:rPr>
                <w:sz w:val="22"/>
                <w:szCs w:val="22"/>
              </w:rPr>
              <w:t xml:space="preserve">Aji Mbye</w:t>
            </w:r>
          </w:p>
        </w:tc>
        <w:tc>
          <w:tcPr>
            <w:tcW w:w="4245" w:type="dxa"/>
            <w:tcBorders>
              <w:top w:val="single" w:sz="4" w:space="0" w:color="C0C0C0"/>
              <w:left w:val="single" w:sz="4" w:space="0" w:color="C0C0C0"/>
              <w:bottom w:val="single" w:sz="4" w:space="0" w:color="C0C0C0"/>
            </w:tcBorders>
            <w:shd w:val="clear" w:color="auto" w:fill="FFFFCC"/>
          </w:tcPr>
          <w:p w:rsidR="00A022E8" w:rsidRDefault="009A08B2" w:rsidP="00B9523C">
            <w:pPr>
              <w:pStyle w:val="TableContents"/>
              <w:snapToGrid w:val="0"/>
              <w:rPr>
                <w:sz w:val="22"/>
                <w:szCs w:val="22"/>
              </w:rPr>
            </w:pPr>
            <w:r>
              <w:rPr>
                <w:sz w:val="22"/>
                <w:szCs w:val="22"/>
              </w:rPr>
              <w:t xml:space="preserve">ambye@kiddaitken.com</w:t>
            </w:r>
          </w:p>
        </w:tc>
        <w:tc>
          <w:tcPr>
            <w:tcW w:w="2663" w:type="dxa"/>
            <w:tcBorders>
              <w:top w:val="single" w:sz="4" w:space="0" w:color="C0C0C0"/>
              <w:left w:val="single" w:sz="4" w:space="0" w:color="C0C0C0"/>
              <w:bottom w:val="single" w:sz="4" w:space="0" w:color="C0C0C0"/>
              <w:right w:val="single" w:sz="4" w:space="0" w:color="C0C0C0"/>
            </w:tcBorders>
            <w:shd w:val="clear" w:color="auto" w:fill="FFFFCC"/>
          </w:tcPr>
          <w:p w:rsidR="00A022E8" w:rsidRDefault="009A08B2" w:rsidP="00B9523C">
            <w:pPr>
              <w:pStyle w:val="TableContents"/>
              <w:snapToGrid w:val="0"/>
              <w:rPr>
                <w:sz w:val="22"/>
                <w:szCs w:val="22"/>
              </w:rPr>
            </w:pPr>
            <w:r>
              <w:rPr>
                <w:sz w:val="22"/>
                <w:szCs w:val="22"/>
              </w:rPr>
              <w:t xml:space="preserve">+447795385575</w:t>
            </w:r>
          </w:p>
        </w:tc>
      </w:tr>
      <w:tr w:rsidR="009B2AE2" w:rsidTr="001E03EC">
        <w:tblPrEx>
          <w:tblCellMar>
            <w:top w:w="57" w:type="dxa"/>
            <w:left w:w="57" w:type="dxa"/>
            <w:bottom w:w="57" w:type="dxa"/>
            <w:right w:w="57" w:type="dxa"/>
          </w:tblCellMar>
        </w:tblPrEx>
        <w:trPr>
          <w:trHeight w:val="444"/>
        </w:trPr>
        <w:tc>
          <w:tcPr>
            <w:tcW w:w="2805" w:type="dxa"/>
            <w:tcBorders>
              <w:top w:val="single" w:sz="4" w:space="0" w:color="C0C0C0"/>
              <w:left w:val="single" w:sz="4" w:space="0" w:color="C0C0C0"/>
              <w:bottom w:val="single" w:sz="4" w:space="0" w:color="C0C0C0"/>
            </w:tcBorders>
            <w:shd w:val="clear" w:color="auto" w:fill="FFFFCC"/>
          </w:tcPr>
          <w:p w:rsidR="009B2AE2" w:rsidRDefault="009A08B2" w:rsidP="00B9523C">
            <w:pPr>
              <w:pStyle w:val="TableContents"/>
              <w:snapToGrid w:val="0"/>
              <w:rPr>
                <w:sz w:val="22"/>
                <w:szCs w:val="22"/>
              </w:rPr>
            </w:pPr>
            <w:r w:rsidRPr="009A08B2">
              <w:rPr>
                <w:sz w:val="22"/>
                <w:szCs w:val="22"/>
              </w:rPr>
              <w:t xml:space="preserve">Roque Sagardoy</w:t>
            </w:r>
          </w:p>
        </w:tc>
        <w:tc>
          <w:tcPr>
            <w:tcW w:w="4245" w:type="dxa"/>
            <w:tcBorders>
              <w:top w:val="single" w:sz="4" w:space="0" w:color="C0C0C0"/>
              <w:left w:val="single" w:sz="4" w:space="0" w:color="C0C0C0"/>
              <w:bottom w:val="single" w:sz="4" w:space="0" w:color="C0C0C0"/>
            </w:tcBorders>
            <w:shd w:val="clear" w:color="auto" w:fill="FFFFCC"/>
          </w:tcPr>
          <w:p w:rsidR="009B2AE2" w:rsidRDefault="009A08B2" w:rsidP="00B9523C">
            <w:pPr>
              <w:pStyle w:val="TableContents"/>
              <w:snapToGrid w:val="0"/>
              <w:rPr>
                <w:sz w:val="22"/>
                <w:szCs w:val="22"/>
              </w:rPr>
            </w:pPr>
            <w:r w:rsidRPr="009A08B2">
              <w:rPr>
                <w:sz w:val="22"/>
                <w:szCs w:val="22"/>
              </w:rPr>
              <w:t xml:space="preserve">rsagardoy@pcga.mx</w:t>
            </w:r>
          </w:p>
        </w:tc>
        <w:tc>
          <w:tcPr>
            <w:tcW w:w="2663" w:type="dxa"/>
            <w:tcBorders>
              <w:top w:val="single" w:sz="4" w:space="0" w:color="C0C0C0"/>
              <w:left w:val="single" w:sz="4" w:space="0" w:color="C0C0C0"/>
              <w:bottom w:val="single" w:sz="4" w:space="0" w:color="C0C0C0"/>
              <w:right w:val="single" w:sz="4" w:space="0" w:color="C0C0C0"/>
            </w:tcBorders>
            <w:shd w:val="clear" w:color="auto" w:fill="FFFFCC"/>
          </w:tcPr>
          <w:p w:rsidR="009B2AE2" w:rsidRDefault="009A08B2" w:rsidP="00B9523C">
            <w:pPr>
              <w:pStyle w:val="TableContents"/>
              <w:snapToGrid w:val="0"/>
              <w:rPr>
                <w:sz w:val="22"/>
                <w:szCs w:val="22"/>
              </w:rPr>
            </w:pPr>
            <w:r w:rsidRPr="009A08B2">
              <w:rPr>
                <w:sz w:val="22"/>
                <w:szCs w:val="22"/>
              </w:rPr>
              <w:t xml:space="preserve">+52 55 50015418</w:t>
            </w:r>
          </w:p>
        </w:tc>
      </w:tr>
    </w:tbl>
    <w:p w:rsidR="00AB2803" w:rsidRDefault="00AB2803" w:rsidP="00A022E8">
      <w:pPr>
        <w:pStyle w:val="Textoindependiente"/>
        <w:snapToGrid w:val="0"/>
        <w:spacing w:line="360" w:lineRule="auto"/>
        <w:rPr>
          <w:sz w:val="22"/>
          <w:szCs w:val="22"/>
        </w:rPr>
      </w:pPr>
    </w:p>
    <w:p w:rsidR="00AB2803" w:rsidRDefault="00AB2803" w:rsidP="00AB2803">
      <w:pPr>
        <w:pStyle w:val="Textoindependiente"/>
        <w:snapToGrid w:val="0"/>
        <w:spacing w:line="360" w:lineRule="auto"/>
        <w:jc w:val="center"/>
        <w:rPr>
          <w:b/>
          <w:bCs/>
        </w:rPr>
      </w:pPr>
      <w:r>
        <w:rPr>
          <w:sz w:val="22"/>
          <w:szCs w:val="22"/>
        </w:rPr>
        <w:br w:type="page"/>
      </w:r>
    </w:p>
    <w:p w:rsidR="00A022E8" w:rsidRDefault="00A022E8" w:rsidP="00AB2803">
      <w:pPr>
        <w:pStyle w:val="Textoindependiente"/>
        <w:snapToGrid w:val="0"/>
        <w:spacing w:line="360" w:lineRule="auto"/>
        <w:jc w:val="center"/>
        <w:rPr>
          <w:b/>
          <w:bCs/>
        </w:rPr>
      </w:pPr>
      <w:r>
        <w:rPr>
          <w:b/>
          <w:bCs/>
        </w:rPr>
        <w:lastRenderedPageBreak/>
        <w:t>B. DEPARTMENT INFORMATION</w:t>
      </w:r>
    </w:p>
    <w:tbl>
      <w:tblPr>
        <w:tblpPr w:leftFromText="180" w:rightFromText="180" w:vertAnchor="text" w:horzAnchor="margin" w:tblpY="32"/>
        <w:tblW w:w="0" w:type="auto"/>
        <w:tblLayout w:type="fixed"/>
        <w:tblCellMar>
          <w:top w:w="57" w:type="dxa"/>
          <w:left w:w="57" w:type="dxa"/>
          <w:bottom w:w="57" w:type="dxa"/>
          <w:right w:w="57" w:type="dxa"/>
        </w:tblCellMar>
        <w:tblLook w:val="0000" w:firstRow="0" w:lastRow="0" w:firstColumn="0" w:lastColumn="0" w:noHBand="0" w:noVBand="0"/>
      </w:tblPr>
      <w:tblGrid>
        <w:gridCol w:w="9699"/>
      </w:tblGrid>
      <w:tr w:rsidR="00AB2803" w:rsidTr="00AB2803">
        <w:tc>
          <w:tcPr>
            <w:tcW w:w="9699" w:type="dxa"/>
            <w:tcBorders>
              <w:top w:val="single" w:sz="4" w:space="0" w:color="C0C0C0"/>
              <w:left w:val="single" w:sz="4" w:space="0" w:color="C0C0C0"/>
              <w:bottom w:val="single" w:sz="4" w:space="0" w:color="C0C0C0"/>
              <w:right w:val="single" w:sz="4" w:space="0" w:color="C0C0C0"/>
            </w:tcBorders>
            <w:shd w:val="clear" w:color="auto" w:fill="auto"/>
          </w:tcPr>
          <w:p w:rsidR="00AB2803" w:rsidRDefault="00AB2803" w:rsidP="00AB2803">
            <w:pPr>
              <w:keepNext/>
              <w:snapToGrid w:val="0"/>
            </w:pPr>
            <w:r w:rsidRPr="00A4584B">
              <w:rPr>
                <w:sz w:val="14"/>
                <w:szCs w:val="14"/>
              </w:rPr>
              <w:t xml:space="preserve">B1 </w:t>
            </w:r>
            <w:r w:rsidRPr="00640AC2">
              <w:rPr>
                <w:b/>
                <w:bCs/>
                <w:sz w:val="22"/>
                <w:szCs w:val="22"/>
              </w:rPr>
              <w:t>Department name</w:t>
            </w:r>
            <w:r>
              <w:t xml:space="preserve"> </w:t>
            </w:r>
            <w:r w:rsidRPr="00AB2803">
              <w:rPr>
                <w:i/>
                <w:iCs/>
                <w:sz w:val="22"/>
                <w:szCs w:val="22"/>
              </w:rPr>
              <w:t>(used by firm)</w:t>
            </w:r>
          </w:p>
        </w:tc>
      </w:tr>
      <w:tr w:rsidR="00AB2803" w:rsidTr="00AB2803">
        <w:trPr>
          <w:trHeight w:val="567"/>
        </w:trPr>
        <w:tc>
          <w:tcPr>
            <w:tcW w:w="9699"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9A08B2" w:rsidP="00AB2803">
            <w:pPr>
              <w:keepNext/>
              <w:snapToGrid w:val="0"/>
              <w:spacing w:line="360" w:lineRule="auto"/>
              <w:rPr>
                <w:sz w:val="22"/>
                <w:szCs w:val="22"/>
              </w:rPr>
            </w:pPr>
            <w:r>
              <w:rPr>
                <w:sz w:val="22"/>
                <w:szCs w:val="22"/>
              </w:rPr>
              <w:t xml:space="preserve"/>
            </w:r>
          </w:p>
        </w:tc>
      </w:tr>
    </w:tbl>
    <w:p w:rsidR="00AB2803" w:rsidRDefault="00AB2803" w:rsidP="00AB2803">
      <w:pPr>
        <w:pStyle w:val="Sinespaciado"/>
      </w:pPr>
    </w:p>
    <w:tbl>
      <w:tblPr>
        <w:tblpPr w:leftFromText="180" w:rightFromText="180" w:vertAnchor="text" w:horzAnchor="margin" w:tblpY="29"/>
        <w:tblW w:w="9555" w:type="dxa"/>
        <w:tblLayout w:type="fixed"/>
        <w:tblCellMar>
          <w:top w:w="57" w:type="dxa"/>
          <w:left w:w="57" w:type="dxa"/>
          <w:bottom w:w="57" w:type="dxa"/>
          <w:right w:w="57" w:type="dxa"/>
        </w:tblCellMar>
        <w:tblLook w:val="04A0" w:firstRow="1" w:lastRow="0" w:firstColumn="1" w:lastColumn="0" w:noHBand="0" w:noVBand="1"/>
      </w:tblPr>
      <w:tblGrid>
        <w:gridCol w:w="9555"/>
      </w:tblGrid>
      <w:tr w:rsidR="00F962BF" w:rsidTr="00F962BF">
        <w:trPr>
          <w:trHeight w:val="403"/>
        </w:trPr>
        <w:tc>
          <w:tcPr>
            <w:tcW w:w="9555" w:type="dxa"/>
            <w:tcBorders>
              <w:top w:val="single" w:sz="4" w:space="0" w:color="C0C0C0"/>
              <w:left w:val="single" w:sz="4" w:space="0" w:color="C0C0C0"/>
              <w:bottom w:val="single" w:sz="4" w:space="0" w:color="C0C0C0"/>
              <w:right w:val="single" w:sz="4" w:space="0" w:color="C0C0C0"/>
            </w:tcBorders>
            <w:hideMark/>
          </w:tcPr>
          <w:p w:rsidR="00F962BF" w:rsidRDefault="00F962BF">
            <w:pPr>
              <w:keepNext/>
              <w:snapToGrid w:val="0"/>
              <w:rPr>
                <w:kern w:val="2"/>
              </w:rPr>
            </w:pPr>
            <w:r>
              <w:rPr>
                <w:sz w:val="14"/>
                <w:szCs w:val="14"/>
              </w:rPr>
              <w:t xml:space="preserve">B2 </w:t>
            </w:r>
            <w:r>
              <w:rPr>
                <w:b/>
                <w:bCs/>
                <w:sz w:val="22"/>
                <w:szCs w:val="22"/>
              </w:rPr>
              <w:t>Number of partners in the department</w:t>
            </w:r>
          </w:p>
        </w:tc>
      </w:tr>
      <w:tr w:rsidR="00F962BF" w:rsidTr="00F962BF">
        <w:trPr>
          <w:trHeight w:val="403"/>
        </w:trPr>
        <w:tc>
          <w:tcPr>
            <w:tcW w:w="9555" w:type="dxa"/>
            <w:tcBorders>
              <w:top w:val="single" w:sz="4" w:space="0" w:color="C0C0C0"/>
              <w:left w:val="single" w:sz="4" w:space="0" w:color="C0C0C0"/>
              <w:bottom w:val="single" w:sz="4" w:space="0" w:color="C0C0C0"/>
              <w:right w:val="single" w:sz="4" w:space="0" w:color="C0C0C0"/>
            </w:tcBorders>
            <w:shd w:val="clear" w:color="auto" w:fill="FEFFCF"/>
          </w:tcPr>
          <w:p w:rsidR="00F962BF" w:rsidRDefault="009A08B2">
            <w:pPr>
              <w:keepNext/>
              <w:snapToGrid w:val="0"/>
              <w:rPr>
                <w:sz w:val="14"/>
                <w:szCs w:val="14"/>
              </w:rPr>
            </w:pPr>
            <w:r>
              <w:rPr>
                <w:sz w:val="14"/>
                <w:szCs w:val="14"/>
              </w:rPr>
              <w:t xml:space="preserve">3</w:t>
            </w:r>
          </w:p>
        </w:tc>
      </w:tr>
      <w:tr w:rsidR="00F962BF" w:rsidTr="00F962BF">
        <w:trPr>
          <w:trHeight w:val="403"/>
        </w:trPr>
        <w:tc>
          <w:tcPr>
            <w:tcW w:w="9555" w:type="dxa"/>
            <w:tcBorders>
              <w:top w:val="single" w:sz="4" w:space="0" w:color="C0C0C0"/>
              <w:left w:val="single" w:sz="4" w:space="0" w:color="C0C0C0"/>
              <w:bottom w:val="single" w:sz="4" w:space="0" w:color="C0C0C0"/>
              <w:right w:val="single" w:sz="4" w:space="0" w:color="C0C0C0"/>
            </w:tcBorders>
            <w:hideMark/>
          </w:tcPr>
          <w:p w:rsidR="00F962BF" w:rsidRDefault="00F962BF">
            <w:pPr>
              <w:keepNext/>
              <w:snapToGrid w:val="0"/>
            </w:pPr>
            <w:r>
              <w:rPr>
                <w:sz w:val="14"/>
                <w:szCs w:val="14"/>
              </w:rPr>
              <w:t xml:space="preserve">B3 </w:t>
            </w:r>
            <w:r>
              <w:rPr>
                <w:b/>
                <w:bCs/>
                <w:sz w:val="22"/>
                <w:szCs w:val="22"/>
              </w:rPr>
              <w:t xml:space="preserve">Number of other qualified lawyers </w:t>
            </w:r>
          </w:p>
        </w:tc>
      </w:tr>
      <w:tr w:rsidR="00F962BF" w:rsidTr="00F962BF">
        <w:trPr>
          <w:trHeight w:val="403"/>
        </w:trPr>
        <w:tc>
          <w:tcPr>
            <w:tcW w:w="9555" w:type="dxa"/>
            <w:tcBorders>
              <w:top w:val="single" w:sz="4" w:space="0" w:color="C0C0C0"/>
              <w:left w:val="single" w:sz="4" w:space="0" w:color="C0C0C0"/>
              <w:bottom w:val="single" w:sz="4" w:space="0" w:color="C0C0C0"/>
              <w:right w:val="single" w:sz="4" w:space="0" w:color="C0C0C0"/>
            </w:tcBorders>
            <w:shd w:val="clear" w:color="auto" w:fill="FEFFCF"/>
          </w:tcPr>
          <w:p w:rsidR="00F962BF" w:rsidRDefault="009A08B2">
            <w:pPr>
              <w:keepNext/>
              <w:snapToGrid w:val="0"/>
              <w:rPr>
                <w:sz w:val="14"/>
                <w:szCs w:val="14"/>
              </w:rPr>
            </w:pPr>
            <w:r w:rsidRPr="009A08B2">
              <w:rPr>
                <w:sz w:val="14"/>
                <w:szCs w:val="14"/>
              </w:rPr>
              <w:t xml:space="preserve">3</w:t>
            </w:r>
          </w:p>
        </w:tc>
      </w:tr>
    </w:tbl>
    <w:p w:rsidR="00AB2803" w:rsidRDefault="00AB2803" w:rsidP="00AB2803">
      <w:pPr>
        <w:pStyle w:val="Sinespaciado"/>
      </w:pPr>
    </w:p>
    <w:tbl>
      <w:tblPr>
        <w:tblpPr w:leftFromText="180" w:rightFromText="180" w:vertAnchor="text" w:horzAnchor="margin" w:tblpY="-69"/>
        <w:tblW w:w="9710" w:type="dxa"/>
        <w:tblLayout w:type="fixed"/>
        <w:tblCellMar>
          <w:top w:w="57" w:type="dxa"/>
          <w:left w:w="57" w:type="dxa"/>
          <w:bottom w:w="57" w:type="dxa"/>
          <w:right w:w="57" w:type="dxa"/>
        </w:tblCellMar>
        <w:tblLook w:val="0000" w:firstRow="0" w:lastRow="0" w:firstColumn="0" w:lastColumn="0" w:noHBand="0" w:noVBand="0"/>
      </w:tblPr>
      <w:tblGrid>
        <w:gridCol w:w="2790"/>
        <w:gridCol w:w="4245"/>
        <w:gridCol w:w="2675"/>
      </w:tblGrid>
      <w:tr w:rsidR="007C1B00" w:rsidTr="0029029F">
        <w:trPr>
          <w:cantSplit/>
          <w:tblHeader/>
        </w:trPr>
        <w:tc>
          <w:tcPr>
            <w:tcW w:w="9710" w:type="dxa"/>
            <w:gridSpan w:val="3"/>
            <w:tcBorders>
              <w:top w:val="single" w:sz="4" w:space="0" w:color="C0C0C0"/>
              <w:left w:val="single" w:sz="4" w:space="0" w:color="C0C0C0"/>
              <w:bottom w:val="single" w:sz="4" w:space="0" w:color="C0C0C0"/>
              <w:right w:val="single" w:sz="4" w:space="0" w:color="C0C0C0"/>
            </w:tcBorders>
            <w:shd w:val="clear" w:color="auto" w:fill="auto"/>
          </w:tcPr>
          <w:p w:rsidR="007C1B00" w:rsidRDefault="007C1B00" w:rsidP="007C1B00">
            <w:pPr>
              <w:keepNext/>
              <w:snapToGrid w:val="0"/>
            </w:pPr>
            <w:bookmarkStart w:id="0" w:name="Text6"/>
            <w:r w:rsidRPr="00AB2803">
              <w:rPr>
                <w:sz w:val="14"/>
                <w:szCs w:val="14"/>
              </w:rPr>
              <w:t>B</w:t>
            </w:r>
            <w:bookmarkEnd w:id="0"/>
            <w:r w:rsidR="00F25C5D">
              <w:rPr>
                <w:sz w:val="14"/>
                <w:szCs w:val="14"/>
              </w:rPr>
              <w:t>4</w:t>
            </w:r>
            <w:r w:rsidRPr="00AB2803">
              <w:rPr>
                <w:sz w:val="14"/>
                <w:szCs w:val="14"/>
              </w:rPr>
              <w:t xml:space="preserve"> </w:t>
            </w:r>
            <w:r>
              <w:rPr>
                <w:b/>
                <w:bCs/>
                <w:sz w:val="22"/>
                <w:szCs w:val="22"/>
              </w:rPr>
              <w:t>Department H</w:t>
            </w:r>
            <w:r w:rsidRPr="00B9523C">
              <w:rPr>
                <w:b/>
                <w:bCs/>
                <w:sz w:val="22"/>
                <w:szCs w:val="22"/>
              </w:rPr>
              <w:t>ead</w:t>
            </w:r>
            <w:r>
              <w:rPr>
                <w:b/>
                <w:bCs/>
                <w:sz w:val="22"/>
                <w:szCs w:val="22"/>
              </w:rPr>
              <w:t>(s) or Key Partners</w:t>
            </w:r>
          </w:p>
        </w:tc>
      </w:tr>
      <w:tr w:rsidR="007C1B00" w:rsidTr="0029029F">
        <w:trPr>
          <w:cantSplit/>
        </w:trPr>
        <w:tc>
          <w:tcPr>
            <w:tcW w:w="2790" w:type="dxa"/>
            <w:tcBorders>
              <w:top w:val="single" w:sz="4" w:space="0" w:color="C0C0C0"/>
              <w:left w:val="single" w:sz="4" w:space="0" w:color="C0C0C0"/>
              <w:bottom w:val="single" w:sz="4" w:space="0" w:color="C0C0C0"/>
            </w:tcBorders>
            <w:shd w:val="clear" w:color="auto" w:fill="auto"/>
          </w:tcPr>
          <w:p w:rsidR="007C1B00" w:rsidRDefault="007C1B00" w:rsidP="007C1B00">
            <w:pPr>
              <w:keepNext/>
              <w:snapToGrid w:val="0"/>
              <w:jc w:val="center"/>
              <w:rPr>
                <w:sz w:val="22"/>
                <w:szCs w:val="22"/>
              </w:rPr>
            </w:pPr>
            <w:r>
              <w:rPr>
                <w:sz w:val="22"/>
                <w:szCs w:val="22"/>
              </w:rPr>
              <w:t>Name</w:t>
            </w:r>
          </w:p>
        </w:tc>
        <w:tc>
          <w:tcPr>
            <w:tcW w:w="4245" w:type="dxa"/>
            <w:tcBorders>
              <w:top w:val="single" w:sz="4" w:space="0" w:color="C0C0C0"/>
              <w:left w:val="single" w:sz="4" w:space="0" w:color="C0C0C0"/>
              <w:bottom w:val="single" w:sz="4" w:space="0" w:color="C0C0C0"/>
            </w:tcBorders>
            <w:shd w:val="clear" w:color="auto" w:fill="auto"/>
          </w:tcPr>
          <w:p w:rsidR="007C1B00" w:rsidRDefault="007C1B00" w:rsidP="007C1B00">
            <w:pPr>
              <w:keepNext/>
              <w:snapToGrid w:val="0"/>
              <w:jc w:val="center"/>
              <w:rPr>
                <w:sz w:val="22"/>
                <w:szCs w:val="22"/>
              </w:rPr>
            </w:pPr>
            <w:r>
              <w:rPr>
                <w:sz w:val="22"/>
                <w:szCs w:val="22"/>
              </w:rPr>
              <w:t>Email</w:t>
            </w:r>
          </w:p>
        </w:tc>
        <w:tc>
          <w:tcPr>
            <w:tcW w:w="2675" w:type="dxa"/>
            <w:tcBorders>
              <w:top w:val="single" w:sz="4" w:space="0" w:color="C0C0C0"/>
              <w:left w:val="single" w:sz="4" w:space="0" w:color="C0C0C0"/>
              <w:bottom w:val="single" w:sz="4" w:space="0" w:color="C0C0C0"/>
              <w:right w:val="single" w:sz="4" w:space="0" w:color="C0C0C0"/>
            </w:tcBorders>
            <w:shd w:val="clear" w:color="auto" w:fill="auto"/>
          </w:tcPr>
          <w:p w:rsidR="007C1B00" w:rsidRDefault="007C1B00" w:rsidP="007C1B00">
            <w:pPr>
              <w:keepNext/>
              <w:snapToGrid w:val="0"/>
              <w:jc w:val="center"/>
            </w:pPr>
            <w:r>
              <w:rPr>
                <w:sz w:val="22"/>
                <w:szCs w:val="22"/>
              </w:rPr>
              <w:t xml:space="preserve">Telephone number</w:t>
            </w:r>
          </w:p>
        </w:tc>
      </w:tr>
      <w:tr w:rsidR="007C1B00" w:rsidTr="0029029F">
        <w:trPr>
          <w:trHeight w:val="567"/>
        </w:trPr>
        <w:tc>
          <w:tcPr>
            <w:tcW w:w="2790" w:type="dxa"/>
            <w:tcBorders>
              <w:top w:val="single" w:sz="4" w:space="0" w:color="C0C0C0"/>
              <w:left w:val="single" w:sz="4" w:space="0" w:color="C0C0C0"/>
              <w:bottom w:val="single" w:sz="4" w:space="0" w:color="C0C0C0"/>
            </w:tcBorders>
            <w:shd w:val="clear" w:color="auto" w:fill="FFFFCC"/>
          </w:tcPr>
          <w:p w:rsidR="007C1B00" w:rsidRDefault="0074515B" w:rsidP="007C1B00">
            <w:pPr>
              <w:pStyle w:val="TableContents"/>
              <w:snapToGrid w:val="0"/>
              <w:rPr>
                <w:sz w:val="22"/>
                <w:szCs w:val="22"/>
              </w:rPr>
            </w:pPr>
            <w:r>
              <w:rPr>
                <w:sz w:val="22"/>
                <w:szCs w:val="22"/>
              </w:rPr>
              <w:t xml:space="preserve"/>
            </w:r>
            <w:r w:rsidR="0029029F">
              <w:rPr>
                <w:sz w:val="22"/>
                <w:szCs w:val="22"/>
              </w:rPr>
              <w:t xml:space="preserve">Jorge Labastida</w:t>
            </w:r>
          </w:p>
        </w:tc>
        <w:tc>
          <w:tcPr>
            <w:tcW w:w="4245" w:type="dxa"/>
            <w:tcBorders>
              <w:top w:val="single" w:sz="4" w:space="0" w:color="C0C0C0"/>
              <w:left w:val="single" w:sz="4" w:space="0" w:color="C0C0C0"/>
              <w:bottom w:val="single" w:sz="4" w:space="0" w:color="C0C0C0"/>
            </w:tcBorders>
            <w:shd w:val="clear" w:color="auto" w:fill="FFFFCC"/>
          </w:tcPr>
          <w:p w:rsidR="007C1B00" w:rsidRDefault="00A262EB" w:rsidP="0029029F">
            <w:pPr>
              <w:pStyle w:val="TableContents"/>
              <w:snapToGrid w:val="0"/>
              <w:rPr>
                <w:sz w:val="22"/>
                <w:szCs w:val="22"/>
              </w:rPr>
            </w:pPr>
            <w:r>
              <w:rPr>
                <w:sz w:val="22"/>
                <w:szCs w:val="22"/>
              </w:rPr>
              <w:t xml:space="preserve">jlabastida@pcga.mx</w:t>
            </w:r>
          </w:p>
        </w:tc>
        <w:tc>
          <w:tcPr>
            <w:tcW w:w="2675" w:type="dxa"/>
            <w:tcBorders>
              <w:top w:val="single" w:sz="4" w:space="0" w:color="C0C0C0"/>
              <w:left w:val="single" w:sz="4" w:space="0" w:color="C0C0C0"/>
              <w:bottom w:val="single" w:sz="4" w:space="0" w:color="C0C0C0"/>
              <w:right w:val="single" w:sz="4" w:space="0" w:color="C0C0C0"/>
            </w:tcBorders>
            <w:shd w:val="clear" w:color="auto" w:fill="FFFFCC"/>
          </w:tcPr>
          <w:p w:rsidR="00611979" w:rsidRDefault="00A262EB" w:rsidP="00611979">
            <w:pPr>
              <w:pStyle w:val="Sinespaciado"/>
            </w:pPr>
            <w:proofErr w:type="gramStart"/>
            <w:r>
              <w:rPr>
                <w:sz w:val="22"/>
                <w:szCs w:val="22"/>
              </w:rPr>
              <w:t xml:space="preserve">+52 (55) 5001 5443</w:t>
            </w:r>
            <w:r w:rsidR="003238CA">
              <w:rPr>
                <w:sz w:val="22"/>
                <w:szCs w:val="22"/>
              </w:rPr>
              <w:t xml:space="preserve"> </w:t>
            </w:r>
            <w:r w:rsidR="00611979">
              <w:rPr>
                <w:sz w:val="22"/>
                <w:szCs w:val="22"/>
              </w:rPr>
              <w:t xml:space="preserve"> </w:t>
            </w:r>
          </w:p>
          <w:p w:rsidR="007C1B00" w:rsidRDefault="007C1B00" w:rsidP="003238CA">
            <w:pPr>
              <w:pStyle w:val="TableContents"/>
              <w:snapToGrid w:val="0"/>
              <w:rPr>
                <w:sz w:val="22"/>
                <w:szCs w:val="22"/>
              </w:rPr>
            </w:pPr>
          </w:p>
        </w:tc>
      </w:tr>
      <w:tr w:rsidR="000A20E4" w:rsidTr="0029029F">
        <w:trPr>
          <w:trHeight w:val="567"/>
        </w:trPr>
        <w:tc>
          <w:tcPr>
            <w:tcW w:w="2790" w:type="dxa"/>
            <w:tcBorders>
              <w:top w:val="single" w:sz="4" w:space="0" w:color="C0C0C0"/>
              <w:left w:val="single" w:sz="4" w:space="0" w:color="C0C0C0"/>
              <w:bottom w:val="single" w:sz="4" w:space="0" w:color="C0C0C0"/>
            </w:tcBorders>
            <w:shd w:val="clear" w:color="auto" w:fill="FFFFCC"/>
          </w:tcPr>
          <w:p w:rsidR="000A20E4" w:rsidRPr="0029029F" w:rsidRDefault="000A20E4" w:rsidP="007C1B00">
            <w:pPr>
              <w:pStyle w:val="TableContents"/>
              <w:snapToGrid w:val="0"/>
              <w:rPr>
                <w:sz w:val="22"/>
                <w:szCs w:val="22"/>
              </w:rPr>
            </w:pPr>
            <w:r>
              <w:rPr>
                <w:sz w:val="22"/>
                <w:szCs w:val="22"/>
              </w:rPr>
              <w:t xml:space="preserve"/>
            </w:r>
            <w:r w:rsidR="0029029F">
              <w:rPr>
                <w:sz w:val="22"/>
                <w:szCs w:val="22"/>
              </w:rPr>
              <w:t xml:space="preserve">Fernando Eraña</w:t>
            </w:r>
          </w:p>
        </w:tc>
        <w:tc>
          <w:tcPr>
            <w:tcW w:w="4245" w:type="dxa"/>
            <w:tcBorders>
              <w:top w:val="single" w:sz="4" w:space="0" w:color="C0C0C0"/>
              <w:left w:val="single" w:sz="4" w:space="0" w:color="C0C0C0"/>
              <w:bottom w:val="single" w:sz="4" w:space="0" w:color="C0C0C0"/>
            </w:tcBorders>
            <w:shd w:val="clear" w:color="auto" w:fill="FFFFCC"/>
          </w:tcPr>
          <w:p w:rsidR="007C1B00" w:rsidRDefault="00A262EB" w:rsidP="0029029F">
            <w:pPr>
              <w:pStyle w:val="TableContents"/>
              <w:snapToGrid w:val="0"/>
              <w:rPr>
                <w:sz w:val="22"/>
                <w:szCs w:val="22"/>
              </w:rPr>
            </w:pPr>
            <w:r>
              <w:rPr>
                <w:sz w:val="22"/>
                <w:szCs w:val="22"/>
              </w:rPr>
              <w:t xml:space="preserve">ferana@pcga.mx</w:t>
            </w:r>
          </w:p>
        </w:tc>
        <w:tc>
          <w:tcPr>
            <w:tcW w:w="2675" w:type="dxa"/>
            <w:tcBorders>
              <w:top w:val="single" w:sz="4" w:space="0" w:color="C0C0C0"/>
              <w:left w:val="single" w:sz="4" w:space="0" w:color="C0C0C0"/>
              <w:bottom w:val="single" w:sz="4" w:space="0" w:color="C0C0C0"/>
              <w:right w:val="single" w:sz="4" w:space="0" w:color="C0C0C0"/>
            </w:tcBorders>
            <w:shd w:val="clear" w:color="auto" w:fill="FFFFCC"/>
          </w:tcPr>
          <w:p w:rsidR="00611979" w:rsidRDefault="00A262EB" w:rsidP="00611979">
            <w:pPr>
              <w:pStyle w:val="Sinespaciado"/>
            </w:pPr>
            <w:proofErr w:type="gramStart"/>
            <w:r>
              <w:rPr>
                <w:sz w:val="22"/>
                <w:szCs w:val="22"/>
              </w:rPr>
              <w:t xml:space="preserve">+52 (55) 5062 0054</w:t>
            </w:r>
            <w:r w:rsidR="003238CA">
              <w:rPr>
                <w:sz w:val="22"/>
                <w:szCs w:val="22"/>
              </w:rPr>
              <w:t xml:space="preserve"> </w:t>
            </w:r>
            <w:r w:rsidR="00611979">
              <w:rPr>
                <w:sz w:val="22"/>
                <w:szCs w:val="22"/>
              </w:rPr>
              <w:t xml:space="preserve"> </w:t>
            </w:r>
          </w:p>
          <w:p w:rsidR="007C1B00" w:rsidRDefault="007C1B00" w:rsidP="003238CA">
            <w:pPr>
              <w:pStyle w:val="TableContents"/>
              <w:snapToGrid w:val="0"/>
              <w:rPr>
                <w:sz w:val="22"/>
                <w:szCs w:val="22"/>
              </w:rPr>
            </w:pPr>
          </w:p>
        </w:tc>
      </w:tr>
      <w:tr w:rsidR="000A20E4" w:rsidTr="0029029F">
        <w:trPr>
          <w:trHeight w:val="567"/>
        </w:trPr>
        <w:tc>
          <w:tcPr>
            <w:tcW w:w="2790" w:type="dxa"/>
            <w:tcBorders>
              <w:top w:val="single" w:sz="4" w:space="0" w:color="C0C0C0"/>
              <w:left w:val="single" w:sz="4" w:space="0" w:color="C0C0C0"/>
              <w:bottom w:val="single" w:sz="4" w:space="0" w:color="C0C0C0"/>
            </w:tcBorders>
            <w:shd w:val="clear" w:color="auto" w:fill="FFFFCC"/>
          </w:tcPr>
          <w:p w:rsidR="000A20E4" w:rsidRPr="0029029F" w:rsidRDefault="000A20E4" w:rsidP="007C1B00">
            <w:pPr>
              <w:pStyle w:val="TableContents"/>
              <w:snapToGrid w:val="0"/>
              <w:rPr>
                <w:sz w:val="22"/>
                <w:szCs w:val="22"/>
              </w:rPr>
            </w:pPr>
            <w:r>
              <w:rPr>
                <w:sz w:val="22"/>
                <w:szCs w:val="22"/>
              </w:rPr>
              <w:t xml:space="preserve"/>
            </w:r>
            <w:r w:rsidR="0029029F">
              <w:rPr>
                <w:sz w:val="22"/>
                <w:szCs w:val="22"/>
              </w:rPr>
              <w:t xml:space="preserve">Emilio Carrillo</w:t>
            </w:r>
          </w:p>
        </w:tc>
        <w:tc>
          <w:tcPr>
            <w:tcW w:w="4245" w:type="dxa"/>
            <w:tcBorders>
              <w:top w:val="single" w:sz="4" w:space="0" w:color="C0C0C0"/>
              <w:left w:val="single" w:sz="4" w:space="0" w:color="C0C0C0"/>
              <w:bottom w:val="single" w:sz="4" w:space="0" w:color="C0C0C0"/>
            </w:tcBorders>
            <w:shd w:val="clear" w:color="auto" w:fill="FFFFCC"/>
          </w:tcPr>
          <w:p w:rsidR="007C1B00" w:rsidRDefault="00A262EB" w:rsidP="0029029F">
            <w:pPr>
              <w:pStyle w:val="TableContents"/>
              <w:snapToGrid w:val="0"/>
              <w:rPr>
                <w:sz w:val="22"/>
                <w:szCs w:val="22"/>
              </w:rPr>
            </w:pPr>
            <w:r>
              <w:rPr>
                <w:sz w:val="22"/>
                <w:szCs w:val="22"/>
              </w:rPr>
              <w:t xml:space="preserve">ecarrillo@pcga.mx</w:t>
            </w:r>
          </w:p>
        </w:tc>
        <w:tc>
          <w:tcPr>
            <w:tcW w:w="2675" w:type="dxa"/>
            <w:tcBorders>
              <w:top w:val="single" w:sz="4" w:space="0" w:color="C0C0C0"/>
              <w:left w:val="single" w:sz="4" w:space="0" w:color="C0C0C0"/>
              <w:bottom w:val="single" w:sz="4" w:space="0" w:color="C0C0C0"/>
              <w:right w:val="single" w:sz="4" w:space="0" w:color="C0C0C0"/>
            </w:tcBorders>
            <w:shd w:val="clear" w:color="auto" w:fill="FFFFCC"/>
          </w:tcPr>
          <w:p w:rsidR="00611979" w:rsidRDefault="00A262EB" w:rsidP="00611979">
            <w:pPr>
              <w:pStyle w:val="Sinespaciado"/>
            </w:pPr>
            <w:proofErr w:type="gramStart"/>
            <w:r>
              <w:rPr>
                <w:sz w:val="22"/>
                <w:szCs w:val="22"/>
              </w:rPr>
              <w:t xml:space="preserve">+52 (55) 5409 6456</w:t>
            </w:r>
            <w:r w:rsidR="003238CA">
              <w:rPr>
                <w:sz w:val="22"/>
                <w:szCs w:val="22"/>
              </w:rPr>
              <w:t xml:space="preserve"> </w:t>
            </w:r>
            <w:r w:rsidR="00611979">
              <w:rPr>
                <w:sz w:val="22"/>
                <w:szCs w:val="22"/>
              </w:rPr>
              <w:t xml:space="preserve"> </w:t>
            </w:r>
          </w:p>
          <w:p w:rsidR="007C1B00" w:rsidRDefault="007C1B00" w:rsidP="003238CA">
            <w:pPr>
              <w:pStyle w:val="TableContents"/>
              <w:snapToGrid w:val="0"/>
              <w:rPr>
                <w:sz w:val="22"/>
                <w:szCs w:val="22"/>
              </w:rPr>
            </w:pPr>
          </w:p>
        </w:tc>
      </w:tr>
      <w:tr w:rsidR="000A20E4" w:rsidTr="0029029F">
        <w:trPr>
          <w:trHeight w:val="567"/>
        </w:trPr>
        <w:tc>
          <w:tcPr>
            <w:tcW w:w="2790" w:type="dxa"/>
            <w:tcBorders>
              <w:top w:val="single" w:sz="4" w:space="0" w:color="C0C0C0"/>
              <w:left w:val="single" w:sz="4" w:space="0" w:color="C0C0C0"/>
              <w:bottom w:val="single" w:sz="4" w:space="0" w:color="C0C0C0"/>
            </w:tcBorders>
            <w:shd w:val="clear" w:color="auto" w:fill="FFFFCC"/>
          </w:tcPr>
          <w:p w:rsidR="000A20E4" w:rsidRPr="0029029F" w:rsidRDefault="000A20E4" w:rsidP="007C1B00">
            <w:pPr>
              <w:pStyle w:val="TableContents"/>
              <w:snapToGrid w:val="0"/>
              <w:rPr>
                <w:sz w:val="22"/>
                <w:szCs w:val="22"/>
              </w:rPr>
            </w:pPr>
            <w:r>
              <w:rPr>
                <w:sz w:val="22"/>
                <w:szCs w:val="22"/>
              </w:rPr>
              <w:t xml:space="preserve"/>
            </w:r>
          </w:p>
        </w:tc>
        <w:tc>
          <w:tcPr>
            <w:tcW w:w="4245" w:type="dxa"/>
            <w:tcBorders>
              <w:top w:val="single" w:sz="4" w:space="0" w:color="C0C0C0"/>
              <w:left w:val="single" w:sz="4" w:space="0" w:color="C0C0C0"/>
              <w:bottom w:val="single" w:sz="4" w:space="0" w:color="C0C0C0"/>
            </w:tcBorders>
            <w:shd w:val="clear" w:color="auto" w:fill="FFFFCC"/>
          </w:tcPr>
          <w:p w:rsidR="000A20E4" w:rsidRDefault="000A20E4" w:rsidP="0029029F">
            <w:pPr>
              <w:pStyle w:val="TableContents"/>
              <w:snapToGrid w:val="0"/>
              <w:rPr>
                <w:sz w:val="22"/>
                <w:szCs w:val="22"/>
              </w:rPr>
            </w:pPr>
          </w:p>
        </w:tc>
        <w:tc>
          <w:tcPr>
            <w:tcW w:w="2675" w:type="dxa"/>
            <w:tcBorders>
              <w:top w:val="single" w:sz="4" w:space="0" w:color="C0C0C0"/>
              <w:left w:val="single" w:sz="4" w:space="0" w:color="C0C0C0"/>
              <w:bottom w:val="single" w:sz="4" w:space="0" w:color="C0C0C0"/>
              <w:right w:val="single" w:sz="4" w:space="0" w:color="C0C0C0"/>
            </w:tcBorders>
            <w:shd w:val="clear" w:color="auto" w:fill="FFFFCC"/>
          </w:tcPr>
          <w:p w:rsidR="000A20E4" w:rsidRDefault="000A20E4" w:rsidP="00611979">
            <w:pPr>
              <w:pStyle w:val="Sinespaciado"/>
              <w:rPr>
                <w:sz w:val="22"/>
                <w:szCs w:val="22"/>
              </w:rPr>
            </w:pPr>
          </w:p>
        </w:tc>
      </w:tr>
    </w:tbl>
    <w:p w:rsidR="007C1B00" w:rsidRPr="00CC3518" w:rsidRDefault="007C1B00" w:rsidP="00AB2803">
      <w:pPr>
        <w:pStyle w:val="Sinespaciado"/>
        <w:rPr>
          <w:u w:val="single"/>
        </w:rPr>
      </w:pPr>
    </w:p>
    <w:p w:rsidR="00F72D96" w:rsidRPr="00F72D96" w:rsidRDefault="00F72D96" w:rsidP="00F72D96">
      <w:pPr>
        <w:rPr>
          <w:vanish/>
        </w:rPr>
      </w:pPr>
    </w:p>
    <w:tbl>
      <w:tblPr>
        <w:tblpPr w:leftFromText="180" w:rightFromText="180" w:vertAnchor="text" w:horzAnchor="margin" w:tblpY="132"/>
        <w:tblW w:w="9713" w:type="dxa"/>
        <w:tblLayout w:type="fixed"/>
        <w:tblCellMar>
          <w:top w:w="55" w:type="dxa"/>
          <w:left w:w="55" w:type="dxa"/>
          <w:bottom w:w="55" w:type="dxa"/>
          <w:right w:w="55" w:type="dxa"/>
        </w:tblCellMar>
        <w:tblLook w:val="0000" w:firstRow="0" w:lastRow="0" w:firstColumn="0" w:lastColumn="0" w:noHBand="0" w:noVBand="0"/>
      </w:tblPr>
      <w:tblGrid>
        <w:gridCol w:w="2760"/>
        <w:gridCol w:w="1890"/>
        <w:gridCol w:w="5063"/>
      </w:tblGrid>
      <w:tr w:rsidR="00AB2803" w:rsidTr="00AB2803">
        <w:trPr>
          <w:cantSplit/>
          <w:tblHeader/>
        </w:trPr>
        <w:tc>
          <w:tcPr>
            <w:tcW w:w="9713" w:type="dxa"/>
            <w:gridSpan w:val="3"/>
            <w:tcBorders>
              <w:top w:val="single" w:sz="4" w:space="0" w:color="C0C0C0"/>
              <w:left w:val="single" w:sz="4" w:space="0" w:color="C0C0C0"/>
              <w:bottom w:val="single" w:sz="4" w:space="0" w:color="C0C0C0"/>
              <w:right w:val="single" w:sz="4" w:space="0" w:color="C0C0C0"/>
            </w:tcBorders>
            <w:shd w:val="clear" w:color="auto" w:fill="auto"/>
          </w:tcPr>
          <w:p w:rsidR="00AB2803" w:rsidRDefault="00AB2803" w:rsidP="00AB2803">
            <w:pPr>
              <w:keepNext/>
              <w:snapToGrid w:val="0"/>
            </w:pPr>
            <w:r w:rsidRPr="00AB2803">
              <w:rPr>
                <w:color w:val="000000"/>
                <w:sz w:val="14"/>
                <w:szCs w:val="14"/>
              </w:rPr>
              <w:t>B</w:t>
            </w:r>
            <w:r w:rsidR="00F25C5D">
              <w:rPr>
                <w:color w:val="000000"/>
                <w:sz w:val="14"/>
                <w:szCs w:val="14"/>
              </w:rPr>
              <w:t>5</w:t>
            </w:r>
            <w:r>
              <w:rPr>
                <w:color w:val="000000"/>
                <w:sz w:val="22"/>
                <w:szCs w:val="22"/>
              </w:rPr>
              <w:t xml:space="preserve"> </w:t>
            </w:r>
            <w:r w:rsidRPr="00B9523C">
              <w:rPr>
                <w:b/>
                <w:bCs/>
                <w:color w:val="000000"/>
                <w:sz w:val="22"/>
                <w:szCs w:val="22"/>
              </w:rPr>
              <w:t>Hires / Departures of partners in last 12 months</w:t>
            </w:r>
            <w:r>
              <w:rPr>
                <w:color w:val="000000"/>
              </w:rPr>
              <w:t xml:space="preserve"> </w:t>
            </w:r>
            <w:r>
              <w:rPr>
                <w:color w:val="000000"/>
              </w:rPr>
              <w:br/>
            </w:r>
            <w:r w:rsidRPr="00AB2803">
              <w:rPr>
                <w:i/>
                <w:iCs/>
                <w:color w:val="000000"/>
                <w:sz w:val="22"/>
                <w:szCs w:val="22"/>
              </w:rPr>
              <w:t>(state if they joined or left, and name of the other firm)</w:t>
            </w:r>
          </w:p>
        </w:tc>
      </w:tr>
      <w:tr w:rsidR="00AB2803" w:rsidTr="00AB2803">
        <w:tblPrEx>
          <w:tblCellMar>
            <w:top w:w="57" w:type="dxa"/>
            <w:left w:w="57" w:type="dxa"/>
            <w:bottom w:w="57" w:type="dxa"/>
            <w:right w:w="57" w:type="dxa"/>
          </w:tblCellMar>
        </w:tblPrEx>
        <w:trPr>
          <w:cantSplit/>
        </w:trPr>
        <w:tc>
          <w:tcPr>
            <w:tcW w:w="2760" w:type="dxa"/>
            <w:tcBorders>
              <w:top w:val="single" w:sz="4" w:space="0" w:color="C0C0C0"/>
              <w:left w:val="single" w:sz="4" w:space="0" w:color="C0C0C0"/>
              <w:bottom w:val="single" w:sz="4" w:space="0" w:color="C0C0C0"/>
            </w:tcBorders>
            <w:shd w:val="clear" w:color="auto" w:fill="auto"/>
          </w:tcPr>
          <w:p w:rsidR="00AB2803" w:rsidRDefault="00AB2803" w:rsidP="00AB2803">
            <w:pPr>
              <w:pStyle w:val="TableContents"/>
              <w:keepNext/>
              <w:suppressLineNumbers w:val="0"/>
              <w:snapToGrid w:val="0"/>
              <w:jc w:val="center"/>
              <w:rPr>
                <w:sz w:val="22"/>
                <w:szCs w:val="22"/>
              </w:rPr>
            </w:pPr>
            <w:r>
              <w:rPr>
                <w:sz w:val="22"/>
                <w:szCs w:val="22"/>
              </w:rPr>
              <w:t>Name</w:t>
            </w:r>
          </w:p>
        </w:tc>
        <w:tc>
          <w:tcPr>
            <w:tcW w:w="1890" w:type="dxa"/>
            <w:tcBorders>
              <w:top w:val="single" w:sz="4" w:space="0" w:color="C0C0C0"/>
              <w:left w:val="single" w:sz="4" w:space="0" w:color="C0C0C0"/>
              <w:bottom w:val="single" w:sz="4" w:space="0" w:color="C0C0C0"/>
            </w:tcBorders>
            <w:shd w:val="clear" w:color="auto" w:fill="auto"/>
          </w:tcPr>
          <w:p w:rsidR="00AB2803" w:rsidRDefault="00AB2803" w:rsidP="00AB2803">
            <w:pPr>
              <w:pStyle w:val="TableContents"/>
              <w:keepNext/>
              <w:suppressLineNumbers w:val="0"/>
              <w:snapToGrid w:val="0"/>
              <w:jc w:val="center"/>
              <w:rPr>
                <w:sz w:val="22"/>
                <w:szCs w:val="22"/>
              </w:rPr>
            </w:pPr>
            <w:r>
              <w:rPr>
                <w:sz w:val="22"/>
                <w:szCs w:val="22"/>
              </w:rPr>
              <w:t>Joined / Departed</w:t>
            </w:r>
          </w:p>
        </w:tc>
        <w:tc>
          <w:tcPr>
            <w:tcW w:w="5063" w:type="dxa"/>
            <w:tcBorders>
              <w:top w:val="single" w:sz="4" w:space="0" w:color="C0C0C0"/>
              <w:left w:val="single" w:sz="4" w:space="0" w:color="C0C0C0"/>
              <w:bottom w:val="single" w:sz="4" w:space="0" w:color="C0C0C0"/>
              <w:right w:val="single" w:sz="4" w:space="0" w:color="C0C0C0"/>
            </w:tcBorders>
            <w:shd w:val="clear" w:color="auto" w:fill="auto"/>
          </w:tcPr>
          <w:p w:rsidR="00AB2803" w:rsidRDefault="00AB2803" w:rsidP="00AB2803">
            <w:pPr>
              <w:pStyle w:val="TableContents"/>
              <w:keepNext/>
              <w:suppressLineNumbers w:val="0"/>
              <w:snapToGrid w:val="0"/>
              <w:jc w:val="center"/>
            </w:pPr>
            <w:r>
              <w:rPr>
                <w:sz w:val="22"/>
                <w:szCs w:val="22"/>
              </w:rPr>
              <w:t>Joined From / Destination (firm)</w:t>
            </w:r>
          </w:p>
        </w:tc>
      </w:tr>
      <w:tr w:rsidR="00AB2803" w:rsidTr="001E03EC">
        <w:tblPrEx>
          <w:tblCellMar>
            <w:top w:w="57" w:type="dxa"/>
            <w:left w:w="57" w:type="dxa"/>
            <w:bottom w:w="57" w:type="dxa"/>
            <w:right w:w="57" w:type="dxa"/>
          </w:tblCellMar>
        </w:tblPrEx>
        <w:trPr>
          <w:trHeight w:val="633"/>
        </w:trPr>
        <w:tc>
          <w:tcPr>
            <w:tcW w:w="2760" w:type="dxa"/>
            <w:tcBorders>
              <w:top w:val="single" w:sz="4" w:space="0" w:color="C0C0C0"/>
              <w:left w:val="single" w:sz="4" w:space="0" w:color="C0C0C0"/>
              <w:bottom w:val="single" w:sz="4" w:space="0" w:color="C0C0C0"/>
            </w:tcBorders>
            <w:shd w:val="clear" w:color="auto" w:fill="FFFFCC"/>
          </w:tcPr>
          <w:p w:rsidR="00AB2803" w:rsidRDefault="00A262EB" w:rsidP="00AB2803">
            <w:pPr>
              <w:pStyle w:val="TableContents"/>
              <w:keepNext/>
              <w:keepLines/>
              <w:snapToGrid w:val="0"/>
              <w:rPr>
                <w:sz w:val="22"/>
                <w:szCs w:val="22"/>
              </w:rPr>
            </w:pPr>
            <w:r>
              <w:rPr>
                <w:sz w:val="22"/>
                <w:szCs w:val="22"/>
              </w:rPr>
              <w:t xml:space="preserve"/>
            </w:r>
          </w:p>
        </w:tc>
        <w:tc>
          <w:tcPr>
            <w:tcW w:w="1890" w:type="dxa"/>
            <w:tcBorders>
              <w:top w:val="single" w:sz="4" w:space="0" w:color="C0C0C0"/>
              <w:left w:val="single" w:sz="4" w:space="0" w:color="C0C0C0"/>
              <w:bottom w:val="single" w:sz="4" w:space="0" w:color="C0C0C0"/>
            </w:tcBorders>
            <w:shd w:val="clear" w:color="auto" w:fill="FFFFCC"/>
          </w:tcPr>
          <w:p w:rsidR="00AB2803" w:rsidRDefault="00A262EB" w:rsidP="00AB2803">
            <w:pPr>
              <w:pStyle w:val="TableContents"/>
              <w:keepNext/>
              <w:keepLines/>
              <w:snapToGrid w:val="0"/>
              <w:rPr>
                <w:sz w:val="22"/>
                <w:szCs w:val="22"/>
              </w:rPr>
            </w:pPr>
            <w:r>
              <w:rPr>
                <w:sz w:val="22"/>
                <w:szCs w:val="22"/>
              </w:rPr>
              <w:t xml:space="preserve"/>
            </w:r>
          </w:p>
        </w:tc>
        <w:tc>
          <w:tcPr>
            <w:tcW w:w="506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A262EB" w:rsidP="00AB2803">
            <w:pPr>
              <w:pStyle w:val="TableContents"/>
              <w:keepNext/>
              <w:keepLines/>
              <w:snapToGrid w:val="0"/>
              <w:rPr>
                <w:sz w:val="22"/>
                <w:szCs w:val="22"/>
              </w:rPr>
            </w:pPr>
            <w:r w:rsidRPr="00A262EB">
              <w:rPr>
                <w:sz w:val="22"/>
                <w:szCs w:val="22"/>
              </w:rPr>
              <w:t xml:space="preserve"/>
            </w:r>
          </w:p>
        </w:tc>
      </w:tr>
      <w:tr w:rsidR="00AB2803" w:rsidTr="001E03EC">
        <w:tblPrEx>
          <w:tblCellMar>
            <w:top w:w="57" w:type="dxa"/>
            <w:left w:w="57" w:type="dxa"/>
            <w:bottom w:w="57" w:type="dxa"/>
            <w:right w:w="57" w:type="dxa"/>
          </w:tblCellMar>
        </w:tblPrEx>
        <w:trPr>
          <w:trHeight w:val="586"/>
        </w:trPr>
        <w:tc>
          <w:tcPr>
            <w:tcW w:w="2760" w:type="dxa"/>
            <w:tcBorders>
              <w:top w:val="single" w:sz="4" w:space="0" w:color="C0C0C0"/>
              <w:left w:val="single" w:sz="4" w:space="0" w:color="C0C0C0"/>
              <w:bottom w:val="single" w:sz="4" w:space="0" w:color="C0C0C0"/>
            </w:tcBorders>
            <w:shd w:val="clear" w:color="auto" w:fill="FFFFCC"/>
          </w:tcPr>
          <w:p w:rsidR="00AB2803" w:rsidRDefault="00A262EB" w:rsidP="00AB2803">
            <w:pPr>
              <w:pStyle w:val="TableContents"/>
              <w:keepNext/>
              <w:snapToGrid w:val="0"/>
              <w:rPr>
                <w:sz w:val="22"/>
                <w:szCs w:val="22"/>
              </w:rPr>
            </w:pPr>
            <w:r w:rsidRPr="00A262EB">
              <w:rPr>
                <w:sz w:val="22"/>
                <w:szCs w:val="22"/>
              </w:rPr>
              <w:t xml:space="preserve"/>
            </w:r>
          </w:p>
        </w:tc>
        <w:tc>
          <w:tcPr>
            <w:tcW w:w="1890" w:type="dxa"/>
            <w:tcBorders>
              <w:top w:val="single" w:sz="4" w:space="0" w:color="C0C0C0"/>
              <w:left w:val="single" w:sz="4" w:space="0" w:color="C0C0C0"/>
              <w:bottom w:val="single" w:sz="4" w:space="0" w:color="C0C0C0"/>
            </w:tcBorders>
            <w:shd w:val="clear" w:color="auto" w:fill="FFFFCC"/>
          </w:tcPr>
          <w:p w:rsidR="00AB2803" w:rsidRDefault="00A262EB" w:rsidP="00AB2803">
            <w:pPr>
              <w:pStyle w:val="TableContents"/>
              <w:keepNext/>
              <w:snapToGrid w:val="0"/>
              <w:rPr>
                <w:sz w:val="22"/>
                <w:szCs w:val="22"/>
              </w:rPr>
            </w:pPr>
            <w:r w:rsidRPr="00A262EB">
              <w:rPr>
                <w:sz w:val="22"/>
                <w:szCs w:val="22"/>
              </w:rPr>
              <w:t xml:space="preserve"/>
            </w:r>
          </w:p>
        </w:tc>
        <w:tc>
          <w:tcPr>
            <w:tcW w:w="506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A262EB" w:rsidP="00AB2803">
            <w:pPr>
              <w:pStyle w:val="TableContents"/>
              <w:keepNext/>
              <w:snapToGrid w:val="0"/>
              <w:rPr>
                <w:sz w:val="22"/>
                <w:szCs w:val="22"/>
              </w:rPr>
            </w:pPr>
            <w:r w:rsidRPr="00A262EB">
              <w:rPr>
                <w:sz w:val="22"/>
                <w:szCs w:val="22"/>
              </w:rPr>
              <w:t xml:space="preserve"/>
            </w:r>
          </w:p>
        </w:tc>
      </w:tr>
      <w:tr w:rsidR="00AB2803" w:rsidTr="001E03EC">
        <w:tblPrEx>
          <w:tblCellMar>
            <w:top w:w="57" w:type="dxa"/>
            <w:left w:w="57" w:type="dxa"/>
            <w:bottom w:w="57" w:type="dxa"/>
            <w:right w:w="57" w:type="dxa"/>
          </w:tblCellMar>
        </w:tblPrEx>
        <w:trPr>
          <w:trHeight w:val="583"/>
        </w:trPr>
        <w:tc>
          <w:tcPr>
            <w:tcW w:w="2760" w:type="dxa"/>
            <w:tcBorders>
              <w:top w:val="single" w:sz="4" w:space="0" w:color="C0C0C0"/>
              <w:left w:val="single" w:sz="4" w:space="0" w:color="C0C0C0"/>
              <w:bottom w:val="single" w:sz="4" w:space="0" w:color="C0C0C0"/>
            </w:tcBorders>
            <w:shd w:val="clear" w:color="auto" w:fill="FFFFCC"/>
          </w:tcPr>
          <w:p w:rsidR="00AB2803" w:rsidRDefault="00A262EB" w:rsidP="00AB2803">
            <w:pPr>
              <w:pStyle w:val="TableContents"/>
              <w:snapToGrid w:val="0"/>
              <w:rPr>
                <w:sz w:val="22"/>
                <w:szCs w:val="22"/>
              </w:rPr>
            </w:pPr>
            <w:r w:rsidRPr="00A262EB">
              <w:rPr>
                <w:sz w:val="22"/>
                <w:szCs w:val="22"/>
              </w:rPr>
              <w:t xml:space="preserve"/>
            </w:r>
          </w:p>
        </w:tc>
        <w:tc>
          <w:tcPr>
            <w:tcW w:w="1890" w:type="dxa"/>
            <w:tcBorders>
              <w:top w:val="single" w:sz="4" w:space="0" w:color="C0C0C0"/>
              <w:left w:val="single" w:sz="4" w:space="0" w:color="C0C0C0"/>
              <w:bottom w:val="single" w:sz="4" w:space="0" w:color="C0C0C0"/>
            </w:tcBorders>
            <w:shd w:val="clear" w:color="auto" w:fill="FFFFCC"/>
          </w:tcPr>
          <w:p w:rsidR="00AB2803" w:rsidRDefault="00A262EB" w:rsidP="00AB2803">
            <w:pPr>
              <w:pStyle w:val="TableContents"/>
              <w:snapToGrid w:val="0"/>
              <w:rPr>
                <w:sz w:val="22"/>
                <w:szCs w:val="22"/>
              </w:rPr>
            </w:pPr>
            <w:r w:rsidRPr="00A262EB">
              <w:rPr>
                <w:sz w:val="22"/>
                <w:szCs w:val="22"/>
              </w:rPr>
              <w:t xml:space="preserve"/>
            </w:r>
          </w:p>
        </w:tc>
        <w:tc>
          <w:tcPr>
            <w:tcW w:w="506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A262EB" w:rsidP="00AB2803">
            <w:pPr>
              <w:pStyle w:val="TableContents"/>
              <w:snapToGrid w:val="0"/>
              <w:rPr>
                <w:sz w:val="22"/>
                <w:szCs w:val="22"/>
              </w:rPr>
            </w:pPr>
            <w:r w:rsidRPr="00A262EB">
              <w:rPr>
                <w:sz w:val="22"/>
                <w:szCs w:val="22"/>
              </w:rPr>
              <w:t xml:space="preserve"/>
            </w:r>
          </w:p>
        </w:tc>
      </w:tr>
    </w:tbl>
    <w:p w:rsidR="0029029F" w:rsidRDefault="0029029F" w:rsidP="00AB2803">
      <w:pPr>
        <w:pStyle w:val="Sinespaciado"/>
      </w:pPr>
    </w:p>
    <w:p w:rsidR="0029029F" w:rsidRDefault="0029029F">
      <w:pPr>
        <w:widowControl/>
        <w:suppressAutoHyphens w:val="0"/>
        <w:rPr>
          <w:szCs w:val="21"/>
        </w:rPr>
      </w:pPr>
      <w:r>
        <w:br w:type="page"/>
      </w:r>
    </w:p>
    <w:tbl>
      <w:tblPr>
        <w:tblpPr w:leftFromText="180" w:rightFromText="180" w:vertAnchor="text" w:horzAnchor="margin" w:tblpY="46"/>
        <w:tblW w:w="9915" w:type="dxa"/>
        <w:tblLayout w:type="fixed"/>
        <w:tblCellMar>
          <w:top w:w="57" w:type="dxa"/>
          <w:left w:w="57" w:type="dxa"/>
          <w:bottom w:w="57" w:type="dxa"/>
          <w:right w:w="57" w:type="dxa"/>
        </w:tblCellMar>
        <w:tblLook w:val="0000" w:firstRow="0" w:lastRow="0" w:firstColumn="0" w:lastColumn="0" w:noHBand="0" w:noVBand="0"/>
      </w:tblPr>
      <w:tblGrid>
        <w:gridCol w:w="2042"/>
        <w:gridCol w:w="3118"/>
        <w:gridCol w:w="1276"/>
        <w:gridCol w:w="1276"/>
        <w:gridCol w:w="2203"/>
      </w:tblGrid>
      <w:tr w:rsidR="0029029F" w:rsidTr="0029029F">
        <w:trPr>
          <w:cantSplit/>
        </w:trPr>
        <w:tc>
          <w:tcPr>
            <w:tcW w:w="9915" w:type="dxa"/>
            <w:gridSpan w:val="5"/>
            <w:tcBorders>
              <w:top w:val="single" w:sz="4" w:space="0" w:color="C0C0C0"/>
              <w:left w:val="single" w:sz="4" w:space="0" w:color="C0C0C0"/>
              <w:bottom w:val="single" w:sz="4" w:space="0" w:color="C0C0C0"/>
              <w:right w:val="single" w:sz="4" w:space="0" w:color="C0C0C0"/>
            </w:tcBorders>
            <w:shd w:val="clear" w:color="auto" w:fill="auto"/>
          </w:tcPr>
          <w:p w:rsidR="0029029F" w:rsidRDefault="0029029F" w:rsidP="0029029F">
            <w:pPr>
              <w:keepNext/>
              <w:snapToGrid w:val="0"/>
              <w:rPr>
                <w:sz w:val="22"/>
                <w:szCs w:val="22"/>
              </w:rPr>
            </w:pPr>
            <w:bookmarkStart w:id="1" w:name="_Hlk55900925"/>
            <w:r w:rsidRPr="00640AC2">
              <w:rPr>
                <w:sz w:val="14"/>
                <w:szCs w:val="14"/>
              </w:rPr>
              <w:lastRenderedPageBreak/>
              <w:t>B</w:t>
            </w:r>
            <w:r>
              <w:rPr>
                <w:sz w:val="14"/>
                <w:szCs w:val="14"/>
              </w:rPr>
              <w:t>6</w:t>
            </w:r>
            <w:r>
              <w:rPr>
                <w:sz w:val="22"/>
                <w:szCs w:val="22"/>
              </w:rPr>
              <w:t xml:space="preserve"> </w:t>
            </w:r>
            <w:r w:rsidRPr="00640AC2">
              <w:rPr>
                <w:b/>
                <w:bCs/>
                <w:sz w:val="22"/>
                <w:szCs w:val="22"/>
              </w:rPr>
              <w:t>Information regarding Ranked and Unranked lawyers (including associates) in this practice area.</w:t>
            </w:r>
          </w:p>
          <w:p w:rsidR="0029029F" w:rsidRPr="00640AC2" w:rsidRDefault="0029029F" w:rsidP="0029029F">
            <w:pPr>
              <w:keepNext/>
              <w:snapToGrid w:val="0"/>
              <w:rPr>
                <w:sz w:val="14"/>
                <w:szCs w:val="14"/>
              </w:rPr>
            </w:pPr>
            <w:r w:rsidRPr="00640AC2">
              <w:rPr>
                <w:i/>
                <w:iCs/>
                <w:sz w:val="22"/>
                <w:szCs w:val="22"/>
              </w:rPr>
              <w:t>Please do not repeat additional biographical information which is available on your website or via other sources. You may include a link to these bio</w:t>
            </w:r>
            <w:r>
              <w:rPr>
                <w:i/>
                <w:iCs/>
                <w:sz w:val="22"/>
                <w:szCs w:val="22"/>
              </w:rPr>
              <w:t>graphies.</w:t>
            </w:r>
          </w:p>
        </w:tc>
      </w:tr>
      <w:tr w:rsidR="0029029F" w:rsidTr="0029029F">
        <w:trPr>
          <w:cantSplit/>
        </w:trPr>
        <w:tc>
          <w:tcPr>
            <w:tcW w:w="2042" w:type="dxa"/>
            <w:tcBorders>
              <w:top w:val="single" w:sz="4" w:space="0" w:color="C0C0C0"/>
              <w:left w:val="single" w:sz="4" w:space="0" w:color="C0C0C0"/>
              <w:bottom w:val="single" w:sz="4" w:space="0" w:color="C0C0C0"/>
            </w:tcBorders>
            <w:shd w:val="clear" w:color="auto" w:fill="auto"/>
          </w:tcPr>
          <w:p w:rsidR="0029029F" w:rsidRPr="0075559A" w:rsidRDefault="0029029F" w:rsidP="0029029F">
            <w:pPr>
              <w:pStyle w:val="TableContents"/>
              <w:keepNext/>
              <w:snapToGrid w:val="0"/>
              <w:jc w:val="center"/>
              <w:rPr>
                <w:b/>
                <w:bCs/>
                <w:sz w:val="22"/>
                <w:szCs w:val="22"/>
              </w:rPr>
            </w:pPr>
            <w:r w:rsidRPr="0075559A">
              <w:rPr>
                <w:b/>
                <w:bCs/>
                <w:sz w:val="22"/>
                <w:szCs w:val="22"/>
              </w:rPr>
              <w:t>Name</w:t>
            </w:r>
          </w:p>
        </w:tc>
        <w:tc>
          <w:tcPr>
            <w:tcW w:w="3118" w:type="dxa"/>
            <w:tcBorders>
              <w:top w:val="single" w:sz="4" w:space="0" w:color="C0C0C0"/>
              <w:left w:val="single" w:sz="4" w:space="0" w:color="C0C0C0"/>
              <w:bottom w:val="single" w:sz="4" w:space="0" w:color="C0C0C0"/>
            </w:tcBorders>
            <w:shd w:val="clear" w:color="auto" w:fill="auto"/>
          </w:tcPr>
          <w:p w:rsidR="0029029F" w:rsidRDefault="0029029F" w:rsidP="0029029F">
            <w:pPr>
              <w:pStyle w:val="TableContents"/>
              <w:keepNext/>
              <w:snapToGrid w:val="0"/>
              <w:jc w:val="center"/>
              <w:rPr>
                <w:sz w:val="22"/>
                <w:szCs w:val="22"/>
              </w:rPr>
            </w:pPr>
            <w:r w:rsidRPr="0075559A">
              <w:rPr>
                <w:b/>
                <w:bCs/>
                <w:sz w:val="22"/>
                <w:szCs w:val="22"/>
              </w:rPr>
              <w:t xml:space="preserve">Comments </w:t>
            </w:r>
            <w:r>
              <w:rPr>
                <w:b/>
                <w:bCs/>
                <w:sz w:val="22"/>
                <w:szCs w:val="22"/>
              </w:rPr>
              <w:t xml:space="preserve">or Web Link </w:t>
            </w:r>
          </w:p>
        </w:tc>
        <w:tc>
          <w:tcPr>
            <w:tcW w:w="1276" w:type="dxa"/>
            <w:tcBorders>
              <w:top w:val="single" w:sz="4" w:space="0" w:color="C0C0C0"/>
              <w:left w:val="single" w:sz="4" w:space="0" w:color="C0C0C0"/>
              <w:bottom w:val="single" w:sz="4" w:space="0" w:color="C0C0C0"/>
              <w:right w:val="single" w:sz="4" w:space="0" w:color="C0C0C0"/>
            </w:tcBorders>
            <w:shd w:val="clear" w:color="auto" w:fill="auto"/>
          </w:tcPr>
          <w:p w:rsidR="0029029F" w:rsidRDefault="0029029F" w:rsidP="0029029F">
            <w:pPr>
              <w:pStyle w:val="TableContents"/>
              <w:keepNext/>
              <w:snapToGrid w:val="0"/>
              <w:jc w:val="center"/>
            </w:pPr>
            <w:r w:rsidRPr="0075559A">
              <w:rPr>
                <w:b/>
                <w:bCs/>
                <w:sz w:val="22"/>
                <w:szCs w:val="22"/>
              </w:rPr>
              <w:t xml:space="preserve">Partner </w:t>
            </w:r>
            <w:r>
              <w:rPr>
                <w:sz w:val="22"/>
                <w:szCs w:val="22"/>
              </w:rPr>
              <w:br/>
            </w:r>
            <w:r w:rsidRPr="0075559A">
              <w:rPr>
                <w:i/>
                <w:iCs/>
                <w:sz w:val="22"/>
                <w:szCs w:val="22"/>
              </w:rPr>
              <w:t>Y/N</w:t>
            </w:r>
          </w:p>
        </w:tc>
        <w:tc>
          <w:tcPr>
            <w:tcW w:w="1276" w:type="dxa"/>
            <w:tcBorders>
              <w:top w:val="single" w:sz="4" w:space="0" w:color="C0C0C0"/>
              <w:left w:val="single" w:sz="4" w:space="0" w:color="C0C0C0"/>
              <w:bottom w:val="single" w:sz="4" w:space="0" w:color="C0C0C0"/>
              <w:right w:val="single" w:sz="4" w:space="0" w:color="C0C0C0"/>
            </w:tcBorders>
            <w:shd w:val="clear" w:color="auto" w:fill="auto"/>
          </w:tcPr>
          <w:p w:rsidR="0029029F" w:rsidRPr="0075559A" w:rsidRDefault="0029029F" w:rsidP="0029029F">
            <w:pPr>
              <w:pStyle w:val="TableContents"/>
              <w:keepNext/>
              <w:snapToGrid w:val="0"/>
              <w:jc w:val="center"/>
              <w:rPr>
                <w:sz w:val="22"/>
                <w:szCs w:val="22"/>
              </w:rPr>
            </w:pPr>
            <w:r w:rsidRPr="0075559A">
              <w:rPr>
                <w:b/>
                <w:bCs/>
                <w:sz w:val="22"/>
                <w:szCs w:val="22"/>
              </w:rPr>
              <w:t>Ranked</w:t>
            </w:r>
            <w:r w:rsidRPr="0075559A">
              <w:rPr>
                <w:sz w:val="22"/>
                <w:szCs w:val="22"/>
              </w:rPr>
              <w:t xml:space="preserve"> </w:t>
            </w:r>
            <w:r w:rsidRPr="0075559A">
              <w:rPr>
                <w:sz w:val="22"/>
                <w:szCs w:val="22"/>
              </w:rPr>
              <w:br/>
            </w:r>
            <w:r w:rsidRPr="0075559A">
              <w:rPr>
                <w:i/>
                <w:iCs/>
                <w:sz w:val="22"/>
                <w:szCs w:val="22"/>
              </w:rPr>
              <w:t>Y/N</w:t>
            </w:r>
          </w:p>
        </w:tc>
        <w:tc>
          <w:tcPr>
            <w:tcW w:w="2203" w:type="dxa"/>
            <w:tcBorders>
              <w:top w:val="single" w:sz="4" w:space="0" w:color="C0C0C0"/>
              <w:left w:val="single" w:sz="4" w:space="0" w:color="C0C0C0"/>
              <w:bottom w:val="single" w:sz="4" w:space="0" w:color="C0C0C0"/>
              <w:right w:val="single" w:sz="4" w:space="0" w:color="C0C0C0"/>
            </w:tcBorders>
          </w:tcPr>
          <w:p w:rsidR="0029029F" w:rsidRPr="004D51E3" w:rsidRDefault="0029029F" w:rsidP="0029029F">
            <w:pPr>
              <w:pStyle w:val="TableContents"/>
              <w:keepNext/>
              <w:snapToGrid w:val="0"/>
              <w:jc w:val="center"/>
              <w:rPr>
                <w:b/>
                <w:sz w:val="20"/>
                <w:szCs w:val="20"/>
              </w:rPr>
            </w:pPr>
            <w:r w:rsidRPr="004D51E3">
              <w:rPr>
                <w:b/>
                <w:sz w:val="20"/>
                <w:szCs w:val="20"/>
              </w:rPr>
              <w:t>Current</w:t>
            </w:r>
            <w:r>
              <w:rPr>
                <w:b/>
                <w:sz w:val="20"/>
                <w:szCs w:val="20"/>
              </w:rPr>
              <w:t>/</w:t>
            </w:r>
            <w:r w:rsidRPr="004D51E3">
              <w:rPr>
                <w:b/>
                <w:sz w:val="20"/>
                <w:szCs w:val="20"/>
              </w:rPr>
              <w:t xml:space="preserve">recent parental leave, significant childcare commitments or other part-time working arrangements, if applicable. For more information, please see our </w:t>
            </w:r>
            <w:hyperlink r:id="rId13" w:history="1">
              <w:r w:rsidRPr="004D51E3">
                <w:rPr>
                  <w:rStyle w:val="Hipervnculo"/>
                  <w:b/>
                  <w:sz w:val="20"/>
                  <w:szCs w:val="20"/>
                </w:rPr>
                <w:t>leave policy</w:t>
              </w:r>
            </w:hyperlink>
            <w:r w:rsidRPr="004D51E3">
              <w:rPr>
                <w:b/>
                <w:sz w:val="20"/>
                <w:szCs w:val="20"/>
              </w:rPr>
              <w:t>).</w:t>
            </w:r>
          </w:p>
        </w:tc>
      </w:tr>
      <w:tr w:rsidR="0029029F" w:rsidTr="0029029F">
        <w:trPr>
          <w:cantSplit/>
          <w:trHeight w:val="851"/>
        </w:trPr>
        <w:tc>
          <w:tcPr>
            <w:tcW w:w="2042"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Pr>
                <w:sz w:val="22"/>
                <w:szCs w:val="22"/>
              </w:rPr>
              <w:t xml:space="preserve">Jorge Labastida</w:t>
            </w:r>
          </w:p>
        </w:tc>
        <w:tc>
          <w:tcPr>
            <w:tcW w:w="3118"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Pr>
                <w:sz w:val="22"/>
                <w:szCs w:val="22"/>
              </w:rPr>
              <w:t xml:space="preserve">
                <w:r>
                  <w:t xml:space="preserve">https://pcga.mx/en/members/jorge-labastida/</w:t>
                </w:r>
                <w:r>
                  <w:t xml:space="preserve"/>
                  <w:br/>
                  <w:t xml:space="preserve"/>
                </w:r>
                <w:r>
                  <w:t xml:space="preserve"/>
                  <w:br/>
                  <w:t xml:space="preserve"/>
                </w:r>
                <w:r>
                  <w:t xml:space="preserve"/>
                  <w:br/>
                  <w:t xml:space="preserve"/>
                </w:r>
                <w:r>
                  <w:t xml:space="preserve">Current ranking: Not Ranked</w:t>
                </w:r>
                <w:r>
                  <w:t xml:space="preserve"/>
                  <w:br/>
                  <w:t xml:space="preserve"/>
                </w:r>
                <w:r>
                  <w:t xml:space="preserve"/>
                  <w:br/>
                  <w:t xml:space="preserve"/>
                </w:r>
                <w:r>
                  <w:t xml:space="preserve"/>
                  <w:br/>
                  <w:t xml:space="preserve"/>
                </w:r>
                <w:r>
                  <w:t xml:space="preserve">Suggested ranking: Band 5</w:t>
                </w:r>
                <w:r>
                  <w:t xml:space="preserve"/>
                  <w:br/>
                  <w:t xml:space="preserve"/>
                </w:r>
                <w:r>
                  <w:t xml:space="preserve"/>
                  <w:br/>
                  <w:t xml:space="preserve"/>
                </w:r>
                <w:r>
                  <w:t xml:space="preserve"/>
                  <w:br/>
                  <w:t xml:space="preserve"/>
                </w:r>
                <w:r>
                  <w:t xml:space="preserve">Key areas of focus:</w:t>
                </w:r>
                <w:r>
                  <w:t xml:space="preserve"/>
                  <w:br/>
                  <w:t xml:space="preserve"/>
                </w:r>
                <w:r>
                  <w:t xml:space="preserve"/>
                  <w:br/>
                  <w:t xml:space="preserve"/>
                </w:r>
                <w:r>
                  <w:t xml:space="preserve"/>
                  <w:br/>
                  <w:t xml:space="preserve"/>
                </w:r>
                <w:r>
                  <w:rPr>
                    <w:b/>
                  </w:rPr>
                  <w:t xml:space="preserve">Jorge Labastida</w:t>
                </w:r>
                <w:r>
                  <w:t xml:space="preserve"> is a seasoned </w:t>
                </w:r>
                <w:r>
                  <w:rPr>
                    <w:b/>
                  </w:rPr>
                  <w:t xml:space="preserve">Banking  Finance</w:t>
                </w:r>
                <w:r>
                  <w:t xml:space="preserve"> lawyer with more than 30 years of experience. He advises on asset-backed finance, project finance, structured finance, restructurings, cross-border transactions, securitisations, and real estate financings. He is particularly recognised for structuring sophisticated collateral packages and for guiding financial institutions, private equity funds, and development banks through complex financing mandates.</w:t>
                </w:r>
                <w:r>
                  <w:t xml:space="preserve"/>
                  <w:br/>
                  <w:t xml:space="preserve"/>
                </w:r>
                <w:r>
                  <w:t xml:space="preserve"/>
                  <w:br/>
                  <w:t xml:space="preserve"/>
                </w:r>
                <w:r>
                  <w:t xml:space="preserve"/>
                  <w:br/>
                  <w:t xml:space="preserve"/>
                </w:r>
                <w:r>
                  <w:t xml:space="preserve">Standout recent work:</w:t>
                </w:r>
                <w:r>
                  <w:t xml:space="preserve"/>
                  <w:br/>
                  <w:t xml:space="preserve"/>
                </w:r>
                <w:r>
                  <w:t xml:space="preserve"/>
                  <w:br/>
                  <w:t xml:space="preserve"/>
                </w:r>
                <w:r>
                  <w:t xml:space="preserve"/>
                  <w:br/>
                  <w:t xml:space="preserve"/>
                </w:r>
                <w:r>
                  <w:rPr>
                    <w:color w:val="FF0000"/>
                  </w:rPr>
                  <w:t xml:space="preserve">[CONFIDENTIAL] Advised </w:t>
                </w:r>
                <w:r>
                  <w:rPr>
                    <w:color w:val="FF0000"/>
                    <w:b/>
                  </w:rPr>
                  <w:t xml:space="preserve">SMBC</w:t>
                </w:r>
                <w:r>
                  <w:rPr>
                    <w:color w:val="FF0000"/>
                  </w:rPr>
                  <w:t xml:space="preserve"> on a </w:t>
                </w:r>
                <w:r>
                  <w:rPr>
                    <w:color w:val="FF0000"/>
                    <w:b/>
                  </w:rPr>
                  <w:t xml:space="preserve">USD 850 million</w:t>
                </w:r>
                <w:r>
                  <w:rPr>
                    <w:color w:val="FF0000"/>
                  </w:rPr>
                  <w:t xml:space="preserve"> credit facility. </w:t>
                </w:r>
                <w:r>
                  <w:rPr>
                    <w:color w:val="FF0000"/>
                    <w:b/>
                  </w:rPr>
                  <w:t xml:space="preserve">Jorge Labastida</w:t>
                </w:r>
                <w:r>
                  <w:rPr>
                    <w:color w:val="FF0000"/>
                  </w:rPr>
                  <w:t xml:space="preserve"> led the structuring and negotiation of the Mexican law-governed financing and oversaw the preparation of detailed collateral documentation supporting infrastructure projects in Mexico.</w:t>
                </w:r>
                <w:r>
                  <w:t xml:space="preserve"/>
                  <w:br/>
                  <w:t xml:space="preserve"/>
                </w:r>
                <w:r>
                  <w:t xml:space="preserve"/>
                  <w:br/>
                  <w:t xml:space="preserve"/>
                </w:r>
                <w:r>
                  <w:t xml:space="preserve"/>
                  <w:br/>
                  <w:t xml:space="preserve"/>
                </w:r>
                <w:r>
                  <w:rPr>
                    <w:color w:val="FF0000"/>
                  </w:rPr>
                  <w:t xml:space="preserve">[CONFIDENTIAL] Advised </w:t>
                </w:r>
                <w:r>
                  <w:rPr>
                    <w:color w:val="FF0000"/>
                    <w:b/>
                  </w:rPr>
                  <w:t xml:space="preserve">Truelink Capital</w:t>
                </w:r>
                <w:r>
                  <w:rPr>
                    <w:color w:val="FF0000"/>
                  </w:rPr>
                  <w:t xml:space="preserve"> on a </w:t>
                </w:r>
                <w:r>
                  <w:rPr>
                    <w:color w:val="FF0000"/>
                    <w:b/>
                  </w:rPr>
                  <w:t xml:space="preserve">USD 246 million</w:t>
                </w:r>
                <w:r>
                  <w:rPr>
                    <w:color w:val="FF0000"/>
                  </w:rPr>
                  <w:t xml:space="preserve"> cross-border acquisition. </w:t>
                </w:r>
                <w:r>
                  <w:rPr>
                    <w:color w:val="FF0000"/>
                    <w:b/>
                  </w:rPr>
                  <w:t xml:space="preserve">Jorge Labastida</w:t>
                </w:r>
                <w:r>
                  <w:rPr>
                    <w:color w:val="FF0000"/>
                  </w:rPr>
                  <w:t xml:space="preserve"> handled the structuring and negotiation of a New York law-governed credit facility used to acquire Air Distribution Technologies, aligning documentation across multiple jurisdictions.</w:t>
                </w:r>
              </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sidRPr="00A262EB">
              <w:rPr>
                <w:sz w:val="22"/>
                <w:szCs w:val="22"/>
              </w:rPr>
              <w:t xml:space="preserve">Y</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sidRPr="00A262EB">
              <w:rPr>
                <w:sz w:val="22"/>
                <w:szCs w:val="22"/>
              </w:rPr>
              <w:t xml:space="preserve">N</w:t>
            </w:r>
          </w:p>
        </w:tc>
        <w:tc>
          <w:tcPr>
            <w:tcW w:w="2203"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sidRPr="00A262EB">
              <w:rPr>
                <w:sz w:val="22"/>
                <w:szCs w:val="22"/>
              </w:rPr>
              <w:t xml:space="preserve"/>
            </w:r>
          </w:p>
        </w:tc>
      </w:tr>
      <w:tr w:rsidR="0029029F" w:rsidTr="0029029F">
        <w:trPr>
          <w:cantSplit/>
          <w:trHeight w:val="851"/>
        </w:trPr>
        <w:tc>
          <w:tcPr>
            <w:tcW w:w="2042"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Pr>
                <w:sz w:val="22"/>
                <w:szCs w:val="22"/>
              </w:rPr>
              <w:t xml:space="preserve">Fernando Eraña</w:t>
            </w:r>
          </w:p>
        </w:tc>
        <w:tc>
          <w:tcPr>
            <w:tcW w:w="3118"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Pr>
                <w:sz w:val="22"/>
                <w:szCs w:val="22"/>
              </w:rPr>
              <w:t xml:space="preserve">
                <w:r>
                  <w:t xml:space="preserve">https://pcga.mx/en/members/fernando-erana/</w:t>
                </w:r>
                <w:r>
                  <w:t xml:space="preserve"/>
                  <w:br/>
                  <w:t xml:space="preserve"/>
                </w:r>
                <w:r>
                  <w:t xml:space="preserve"/>
                  <w:br/>
                  <w:t xml:space="preserve"/>
                </w:r>
                <w:r>
                  <w:t xml:space="preserve"/>
                  <w:br/>
                  <w:t xml:space="preserve"/>
                </w:r>
                <w:r>
                  <w:t xml:space="preserve">Current ranking: Not Ranked</w:t>
                </w:r>
                <w:r>
                  <w:t xml:space="preserve"/>
                  <w:br/>
                  <w:t xml:space="preserve"/>
                </w:r>
                <w:r>
                  <w:t xml:space="preserve"/>
                  <w:br/>
                  <w:t xml:space="preserve"/>
                </w:r>
                <w:r>
                  <w:t xml:space="preserve"/>
                  <w:br/>
                  <w:t xml:space="preserve"/>
                </w:r>
                <w:r>
                  <w:t xml:space="preserve">Suggested ranking: Band 3</w:t>
                </w:r>
                <w:r>
                  <w:t xml:space="preserve"/>
                  <w:br/>
                  <w:t xml:space="preserve"/>
                </w:r>
                <w:r>
                  <w:t xml:space="preserve"/>
                  <w:br/>
                  <w:t xml:space="preserve"/>
                </w:r>
                <w:r>
                  <w:t xml:space="preserve"/>
                  <w:br/>
                  <w:t xml:space="preserve"/>
                </w:r>
                <w:r>
                  <w:t xml:space="preserve">Key areas of focus:</w:t>
                </w:r>
                <w:r>
                  <w:t xml:space="preserve"/>
                  <w:br/>
                  <w:t xml:space="preserve"/>
                </w:r>
                <w:r>
                  <w:t xml:space="preserve"/>
                  <w:br/>
                  <w:t xml:space="preserve"/>
                </w:r>
                <w:r>
                  <w:t xml:space="preserve"/>
                  <w:br/>
                  <w:t xml:space="preserve"/>
                </w:r>
                <w:r>
                  <w:rPr>
                    <w:b/>
                  </w:rPr>
                  <w:t xml:space="preserve">Fernando Eraña</w:t>
                </w:r>
                <w:r>
                  <w:t xml:space="preserve"> is a founding partner of Pérez Correa González with more than 20 years of experience in </w:t>
                </w:r>
                <w:r>
                  <w:rPr>
                    <w:b/>
                  </w:rPr>
                  <w:t xml:space="preserve">Banking  Finance</w:t>
                </w:r>
                <w:r>
                  <w:t xml:space="preserve">, </w:t>
                </w:r>
                <w:r>
                  <w:rPr>
                    <w:b/>
                  </w:rPr>
                  <w:t xml:space="preserve">MA</w:t>
                </w:r>
                <w:r>
                  <w:t xml:space="preserve">, and </w:t>
                </w:r>
                <w:r>
                  <w:rPr>
                    <w:b/>
                  </w:rPr>
                  <w:t xml:space="preserve">Private Equity  Venture Capital</w:t>
                </w:r>
                <w:r>
                  <w:t xml:space="preserve">. He advises on cross-border finance, fintech, and venture capital matters, with experience in secured and unsecured financing, regulatory compliance, and structured debt solutions. His clients include investment funds, startups, non-bank financial institutions, and public and private companies.</w:t>
                </w:r>
                <w:r>
                  <w:t xml:space="preserve"/>
                  <w:br/>
                  <w:t xml:space="preserve"/>
                </w:r>
                <w:r>
                  <w:t xml:space="preserve"/>
                  <w:br/>
                  <w:t xml:space="preserve"/>
                </w:r>
                <w:r>
                  <w:t xml:space="preserve"/>
                  <w:br/>
                  <w:t xml:space="preserve"/>
                </w:r>
                <w:r>
                  <w:t xml:space="preserve">Standout recent work:</w:t>
                </w:r>
                <w:r>
                  <w:t xml:space="preserve"/>
                  <w:br/>
                  <w:t xml:space="preserve"/>
                </w:r>
                <w:r>
                  <w:t xml:space="preserve"/>
                  <w:br/>
                  <w:t xml:space="preserve"/>
                </w:r>
                <w:r>
                  <w:t xml:space="preserve"/>
                  <w:br/>
                  <w:t xml:space="preserve"/>
                </w:r>
                <w:r>
                  <w:t xml:space="preserve">Advised </w:t>
                </w:r>
                <w:r>
                  <w:rPr>
                    <w:b/>
                  </w:rPr>
                  <w:t xml:space="preserve">Grupo Finansiell, S.A.P.I. de C.V. (Doopla)</w:t>
                </w:r>
                <w:r>
                  <w:t xml:space="preserve"> on restructuring its loan agreements and commission structure to comply with regulatory reforms while meeting rising user demand. The matter helped position Doopla as the first regulated crowdfunding institution in Mexico.</w:t>
                </w:r>
                <w:r>
                  <w:t xml:space="preserve"/>
                  <w:br/>
                  <w:t xml:space="preserve"/>
                </w:r>
                <w:r>
                  <w:t xml:space="preserve"/>
                  <w:br/>
                  <w:t xml:space="preserve"/>
                </w:r>
                <w:r>
                  <w:t xml:space="preserve"/>
                  <w:br/>
                  <w:t xml:space="preserve"/>
                </w:r>
                <w:r>
                  <w:t xml:space="preserve">Advised </w:t>
                </w:r>
                <w:r>
                  <w:rPr>
                    <w:b/>
                  </w:rPr>
                  <w:t xml:space="preserve">United States International Development Finance Corporation (DFC)</w:t>
                </w:r>
                <w:r>
                  <w:t xml:space="preserve"> and </w:t>
                </w:r>
                <w:r>
                  <w:rPr>
                    <w:b/>
                  </w:rPr>
                  <w:t xml:space="preserve">Calvert Impact Inc.</w:t>
                </w:r>
                <w:r>
                  <w:t xml:space="preserve"> on a cross-border financing to support the development of 5,020 affordable homes in Mexico. </w:t>
                </w:r>
                <w:r>
                  <w:rPr>
                    <w:b/>
                  </w:rPr>
                  <w:t xml:space="preserve">Fernando Eraña</w:t>
                </w:r>
                <w:r>
                  <w:t xml:space="preserve"> structured the financing under New York law with collateral under Mexican law, navigated regulatory constraints, and secured receivables backed by homebuyer loans.</w:t>
                </w:r>
              </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 xml:space="preserve">Y</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 xml:space="preserve">N</w:t>
            </w:r>
          </w:p>
        </w:tc>
        <w:tc>
          <w:tcPr>
            <w:tcW w:w="2203"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 xml:space="preserve"/>
            </w:r>
          </w:p>
        </w:tc>
      </w:tr>
      <w:tr w:rsidR="0029029F" w:rsidTr="0029029F">
        <w:trPr>
          <w:cantSplit/>
          <w:trHeight w:val="851"/>
        </w:trPr>
        <w:tc>
          <w:tcPr>
            <w:tcW w:w="2042"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Pr>
                <w:sz w:val="22"/>
                <w:szCs w:val="22"/>
              </w:rPr>
              <w:t xml:space="preserve">Emilio Carrillo</w:t>
            </w:r>
          </w:p>
        </w:tc>
        <w:tc>
          <w:tcPr>
            <w:tcW w:w="3118"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sidRPr="00A262EB">
              <w:rPr>
                <w:sz w:val="22"/>
                <w:szCs w:val="22"/>
              </w:rPr>
              <w:t xml:space="preserve">
                <w:r>
                  <w:t xml:space="preserve">https://pcga.mx/en/members/emilio-carrillo/</w:t>
                </w:r>
                <w:r>
                  <w:t xml:space="preserve"/>
                  <w:br/>
                  <w:t xml:space="preserve"/>
                </w:r>
                <w:r>
                  <w:t xml:space="preserve"/>
                  <w:br/>
                  <w:t xml:space="preserve"/>
                </w:r>
                <w:r>
                  <w:t xml:space="preserve"/>
                  <w:br/>
                  <w:t xml:space="preserve"/>
                </w:r>
                <w:r>
                  <w:t xml:space="preserve">Current ranking: Not Ranked</w:t>
                </w:r>
                <w:r>
                  <w:t xml:space="preserve"/>
                  <w:br/>
                  <w:t xml:space="preserve"/>
                </w:r>
                <w:r>
                  <w:t xml:space="preserve"/>
                  <w:br/>
                  <w:t xml:space="preserve"/>
                </w:r>
                <w:r>
                  <w:t xml:space="preserve"/>
                  <w:br/>
                  <w:t xml:space="preserve"/>
                </w:r>
                <w:r>
                  <w:t xml:space="preserve">Suggested ranking: Band 5</w:t>
                </w:r>
                <w:r>
                  <w:t xml:space="preserve"/>
                  <w:br/>
                  <w:t xml:space="preserve"/>
                </w:r>
                <w:r>
                  <w:t xml:space="preserve"/>
                  <w:br/>
                  <w:t xml:space="preserve"/>
                </w:r>
                <w:r>
                  <w:t xml:space="preserve"/>
                  <w:br/>
                  <w:t xml:space="preserve"/>
                </w:r>
                <w:r>
                  <w:t xml:space="preserve">Key areas of focus:</w:t>
                </w:r>
                <w:r>
                  <w:t xml:space="preserve"/>
                  <w:br/>
                  <w:t xml:space="preserve"/>
                </w:r>
                <w:r>
                  <w:t xml:space="preserve"/>
                  <w:br/>
                  <w:t xml:space="preserve"/>
                </w:r>
                <w:r>
                  <w:t xml:space="preserve"/>
                  <w:br/>
                  <w:t xml:space="preserve"/>
                </w:r>
                <w:r>
                  <w:rPr>
                    <w:b/>
                  </w:rPr>
                  <w:t xml:space="preserve">Emilio Carrillo</w:t>
                </w:r>
                <w:r>
                  <w:t xml:space="preserve"> has more than 30 years of experience in </w:t>
                </w:r>
                <w:r>
                  <w:rPr>
                    <w:b/>
                  </w:rPr>
                  <w:t xml:space="preserve">Banking  Finance</w:t>
                </w:r>
                <w:r>
                  <w:t xml:space="preserve">, </w:t>
                </w:r>
                <w:r>
                  <w:rPr>
                    <w:b/>
                  </w:rPr>
                  <w:t xml:space="preserve">Fintech</w:t>
                </w:r>
                <w:r>
                  <w:t xml:space="preserve">, </w:t>
                </w:r>
                <w:r>
                  <w:rPr>
                    <w:b/>
                  </w:rPr>
                  <w:t xml:space="preserve">MA</w:t>
                </w:r>
                <w:r>
                  <w:t xml:space="preserve">, and </w:t>
                </w:r>
                <w:r>
                  <w:rPr>
                    <w:b/>
                  </w:rPr>
                  <w:t xml:space="preserve">Real Estate</w:t>
                </w:r>
                <w:r>
                  <w:t xml:space="preserve">. He advises across regulated sectors, including energy, telecommunications, and finance, and has contributed to Mexico’s regulatory framework in areas such as insolvency and financial services, as well as the </w:t>
                </w:r>
                <w:r>
                  <w:rPr>
                    <w:b/>
                  </w:rPr>
                  <w:t xml:space="preserve">NAFTA</w:t>
                </w:r>
                <w:r>
                  <w:t xml:space="preserve"> negotiations. He also advises non-profits on microfinance and governance matters, including </w:t>
                </w:r>
                <w:r>
                  <w:rPr>
                    <w:b/>
                  </w:rPr>
                  <w:t xml:space="preserve">Fincomún</w:t>
                </w:r>
                <w:r>
                  <w:t xml:space="preserve">, </w:t>
                </w:r>
                <w:r>
                  <w:rPr>
                    <w:b/>
                  </w:rPr>
                  <w:t xml:space="preserve">The Ford Foundation</w:t>
                </w:r>
                <w:r>
                  <w:t xml:space="preserve">, and </w:t>
                </w:r>
                <w:r>
                  <w:rPr>
                    <w:b/>
                  </w:rPr>
                  <w:t xml:space="preserve">Transparencia Mexicana, A.C.</w:t>
                </w:r>
                <w:r>
                  <w:t xml:space="preserve">, where he serves as Secretary of the Board.</w:t>
                </w:r>
                <w:r>
                  <w:t xml:space="preserve"/>
                  <w:br/>
                  <w:t xml:space="preserve"/>
                </w:r>
                <w:r>
                  <w:t xml:space="preserve"/>
                  <w:br/>
                  <w:t xml:space="preserve"/>
                </w:r>
                <w:r>
                  <w:t xml:space="preserve"/>
                  <w:br/>
                  <w:t xml:space="preserve"/>
                </w:r>
                <w:r>
                  <w:t xml:space="preserve">Standout recent work:</w:t>
                </w:r>
                <w:r>
                  <w:t xml:space="preserve"/>
                  <w:br/>
                  <w:t xml:space="preserve"/>
                </w:r>
                <w:r>
                  <w:t xml:space="preserve"/>
                  <w:br/>
                  <w:t xml:space="preserve"/>
                </w:r>
                <w:r>
                  <w:t xml:space="preserve"/>
                  <w:br/>
                  <w:t xml:space="preserve"/>
                </w:r>
                <w:r>
                  <w:rPr>
                    <w:color w:val="FF0000"/>
                  </w:rPr>
                  <w:t xml:space="preserve">[CONFIDENTIAL] Advised </w:t>
                </w:r>
                <w:r>
                  <w:rPr>
                    <w:color w:val="FF0000"/>
                    <w:b/>
                  </w:rPr>
                  <w:t xml:space="preserve">Stereorey México, S.A.</w:t>
                </w:r>
                <w:r>
                  <w:rPr>
                    <w:color w:val="FF0000"/>
                  </w:rPr>
                  <w:t xml:space="preserve"> on a syndicated loan facility involving </w:t>
                </w:r>
                <w:r>
                  <w:rPr>
                    <w:color w:val="FF0000"/>
                    <w:b/>
                  </w:rPr>
                  <w:t xml:space="preserve">HSBC México</w:t>
                </w:r>
                <w:r>
                  <w:rPr>
                    <w:color w:val="FF0000"/>
                  </w:rPr>
                  <w:t xml:space="preserve"> and </w:t>
                </w:r>
                <w:r>
                  <w:rPr>
                    <w:color w:val="FF0000"/>
                    <w:b/>
                  </w:rPr>
                  <w:t xml:space="preserve">Banco Ve por Más</w:t>
                </w:r>
                <w:r>
                  <w:rPr>
                    <w:color w:val="FF0000"/>
                  </w:rPr>
                  <w:t xml:space="preserve">. </w:t>
                </w:r>
                <w:r>
                  <w:rPr>
                    <w:color w:val="FF0000"/>
                    <w:b/>
                  </w:rPr>
                  <w:t xml:space="preserve">Emilio Carrillo</w:t>
                </w:r>
                <w:r>
                  <w:rPr>
                    <w:color w:val="FF0000"/>
                  </w:rPr>
                  <w:t xml:space="preserve"> coordinated work between institutions with different internal protocols and structured the financing to support Stereorey’s operational and investment objectives while maintaining regulatory compliance.</w:t>
                </w:r>
                <w:r>
                  <w:t xml:space="preserve"/>
                  <w:br/>
                  <w:t xml:space="preserve"/>
                </w:r>
                <w:r>
                  <w:t xml:space="preserve"/>
                  <w:br/>
                  <w:t xml:space="preserve"/>
                </w:r>
                <w:r>
                  <w:t xml:space="preserve"/>
                  <w:br/>
                  <w:t xml:space="preserve"/>
                </w:r>
                <w:r>
                  <w:rPr>
                    <w:color w:val="FF0000"/>
                  </w:rPr>
                  <w:t xml:space="preserve">[CONFIDENTIAL] Advised </w:t>
                </w:r>
                <w:r>
                  <w:rPr>
                    <w:color w:val="FF0000"/>
                    <w:b/>
                  </w:rPr>
                  <w:t xml:space="preserve">Grupo Concord, S.A. de C.V.</w:t>
                </w:r>
                <w:r>
                  <w:rPr>
                    <w:color w:val="FF0000"/>
                  </w:rPr>
                  <w:t xml:space="preserve"> on an operational restructuring that included the structuring of a revolving loan facility aligned with the group’s financial strategy. </w:t>
                </w:r>
                <w:r>
                  <w:rPr>
                    <w:color w:val="FF0000"/>
                    <w:b/>
                  </w:rPr>
                  <w:t xml:space="preserve">Emilio Carrillo</w:t>
                </w:r>
                <w:r>
                  <w:rPr>
                    <w:color w:val="FF0000"/>
                  </w:rPr>
                  <w:t xml:space="preserve"> ensured regulatory compliance, negotiated documentation to meet investor requirements, and supported the group’s financial stability during the restructuring.</w:t>
                </w:r>
              </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 xml:space="preserve">Y</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 xml:space="preserve">N</w:t>
            </w:r>
          </w:p>
        </w:tc>
        <w:tc>
          <w:tcPr>
            <w:tcW w:w="2203"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 xml:space="preserve"/>
            </w:r>
          </w:p>
        </w:tc>
      </w:tr>
      <w:tr w:rsidR="0029029F" w:rsidTr="0029029F">
        <w:trPr>
          <w:cantSplit/>
          <w:trHeight w:val="851"/>
        </w:trPr>
        <w:tc>
          <w:tcPr>
            <w:tcW w:w="2042"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Pr>
                <w:sz w:val="22"/>
                <w:szCs w:val="22"/>
              </w:rPr>
              <w:t xml:space="preserve">Eduardo Yrigoyen</w:t>
            </w:r>
          </w:p>
        </w:tc>
        <w:tc>
          <w:tcPr>
            <w:tcW w:w="3118"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Pr>
                <w:sz w:val="22"/>
                <w:szCs w:val="22"/>
              </w:rPr>
              <w:t xml:space="preserve">
                <w:r>
                  <w:t xml:space="preserve">https://pcga.mx/en/members/eduardo-yrigoyen/</w:t>
                </w:r>
                <w:r>
                  <w:t xml:space="preserve"/>
                  <w:br/>
                  <w:t xml:space="preserve"/>
                </w:r>
                <w:r>
                  <w:t xml:space="preserve"/>
                  <w:br/>
                  <w:t xml:space="preserve"/>
                </w:r>
                <w:r>
                  <w:t xml:space="preserve"/>
                  <w:br/>
                  <w:t xml:space="preserve"/>
                </w:r>
                <w:r>
                  <w:t xml:space="preserve">Current ranking: Not Ranked</w:t>
                </w:r>
                <w:r>
                  <w:t xml:space="preserve"/>
                  <w:br/>
                  <w:t xml:space="preserve"/>
                </w:r>
                <w:r>
                  <w:t xml:space="preserve"/>
                  <w:br/>
                  <w:t xml:space="preserve"/>
                </w:r>
                <w:r>
                  <w:t xml:space="preserve"/>
                  <w:br/>
                  <w:t xml:space="preserve"/>
                </w:r>
                <w:r>
                  <w:t xml:space="preserve">Suggested ranking: Associate to watch</w:t>
                </w:r>
                <w:r>
                  <w:t xml:space="preserve"/>
                  <w:br/>
                  <w:t xml:space="preserve"/>
                </w:r>
                <w:r>
                  <w:t xml:space="preserve"/>
                  <w:br/>
                  <w:t xml:space="preserve"/>
                </w:r>
                <w:r>
                  <w:t xml:space="preserve"/>
                  <w:br/>
                  <w:t xml:space="preserve"/>
                </w:r>
                <w:r>
                  <w:t xml:space="preserve">Key areas of focus:</w:t>
                </w:r>
                <w:r>
                  <w:t xml:space="preserve"/>
                  <w:br/>
                  <w:t xml:space="preserve"/>
                </w:r>
                <w:r>
                  <w:t xml:space="preserve"/>
                  <w:br/>
                  <w:t xml:space="preserve"/>
                </w:r>
                <w:r>
                  <w:t xml:space="preserve"/>
                  <w:br/>
                  <w:t xml:space="preserve"/>
                </w:r>
                <w:r>
                  <w:rPr>
                    <w:b/>
                  </w:rPr>
                  <w:t xml:space="preserve">Eduardo Yrigoyen</w:t>
                </w:r>
                <w:r>
                  <w:t xml:space="preserve"> focuses on </w:t>
                </w:r>
                <w:r>
                  <w:rPr>
                    <w:b/>
                  </w:rPr>
                  <w:t xml:space="preserve">Banking  Finance</w:t>
                </w:r>
                <w:r>
                  <w:t xml:space="preserve"> and </w:t>
                </w:r>
                <w:r>
                  <w:rPr>
                    <w:b/>
                  </w:rPr>
                  <w:t xml:space="preserve">MA</w:t>
                </w:r>
                <w:r>
                  <w:t xml:space="preserve">, advising domestic and international companies, private equity funds, and financial institutions. His work covers cross-border financing, guarantees, and trusts, with particular exposure to the energy, infrastructure, advertising, and hospitality sectors. He has been recognised by Best Lawyers: Ones to Watch in Mexico for a developing practice and careful handling of complex financial transactions.</w:t>
                </w:r>
                <w:r>
                  <w:t xml:space="preserve"/>
                  <w:br/>
                  <w:t xml:space="preserve"/>
                </w:r>
                <w:r>
                  <w:t xml:space="preserve"/>
                  <w:br/>
                  <w:t xml:space="preserve"/>
                </w:r>
                <w:r>
                  <w:t xml:space="preserve"/>
                  <w:br/>
                  <w:t xml:space="preserve"/>
                </w:r>
                <w:r>
                  <w:t xml:space="preserve">Standout recent work:</w:t>
                </w:r>
                <w:r>
                  <w:t xml:space="preserve"/>
                  <w:br/>
                  <w:t xml:space="preserve"/>
                </w:r>
                <w:r>
                  <w:t xml:space="preserve"/>
                  <w:br/>
                  <w:t xml:space="preserve"/>
                </w:r>
                <w:r>
                  <w:t xml:space="preserve"/>
                  <w:br/>
                  <w:t xml:space="preserve"/>
                </w:r>
                <w:r>
                  <w:rPr>
                    <w:color w:val="FF0000"/>
                  </w:rPr>
                  <w:t xml:space="preserve">[CONFIDENTIAL] Played a key role advising </w:t>
                </w:r>
                <w:r>
                  <w:rPr>
                    <w:color w:val="FF0000"/>
                    <w:b/>
                  </w:rPr>
                  <w:t xml:space="preserve">SMBC</w:t>
                </w:r>
                <w:r>
                  <w:rPr>
                    <w:color w:val="FF0000"/>
                  </w:rPr>
                  <w:t xml:space="preserve"> on a Mexican law-governed credit facility provided by </w:t>
                </w:r>
                <w:r>
                  <w:rPr>
                    <w:color w:val="FF0000"/>
                    <w:b/>
                  </w:rPr>
                  <w:t xml:space="preserve">Banco Nacional de Obras y Servicios Públicos (Banobras)</w:t>
                </w:r>
                <w:r>
                  <w:rPr>
                    <w:color w:val="FF0000"/>
                  </w:rPr>
                  <w:t xml:space="preserve">. </w:t>
                </w:r>
                <w:r>
                  <w:rPr>
                    <w:color w:val="FF0000"/>
                    <w:b/>
                  </w:rPr>
                  <w:t xml:space="preserve">Eduardo Yrigoyen</w:t>
                </w:r>
                <w:r>
                  <w:rPr>
                    <w:color w:val="FF0000"/>
                  </w:rPr>
                  <w:t xml:space="preserve"> was part of the team on this </w:t>
                </w:r>
                <w:r>
                  <w:rPr>
                    <w:color w:val="FF0000"/>
                    <w:b/>
                  </w:rPr>
                  <w:t xml:space="preserve">USD 850 million</w:t>
                </w:r>
                <w:r>
                  <w:rPr>
                    <w:color w:val="FF0000"/>
                  </w:rPr>
                  <w:t xml:space="preserve"> financing, which supported infrastructure development in Mexico.</w:t>
                </w:r>
                <w:r>
                  <w:t xml:space="preserve"/>
                  <w:br/>
                  <w:t xml:space="preserve"/>
                </w:r>
                <w:r>
                  <w:t xml:space="preserve"/>
                  <w:br/>
                  <w:t xml:space="preserve"/>
                </w:r>
                <w:r>
                  <w:t xml:space="preserve"/>
                  <w:br/>
                  <w:t xml:space="preserve"/>
                </w:r>
                <w:r>
                  <w:rPr>
                    <w:color w:val="FF0000"/>
                  </w:rPr>
                  <w:t xml:space="preserve">[CONFIDENTIAL] Played a key role advising </w:t>
                </w:r>
                <w:r>
                  <w:rPr>
                    <w:color w:val="FF0000"/>
                    <w:b/>
                  </w:rPr>
                  <w:t xml:space="preserve">BMO Bank</w:t>
                </w:r>
                <w:r>
                  <w:rPr>
                    <w:color w:val="FF0000"/>
                  </w:rPr>
                  <w:t xml:space="preserve"> on the due diligence, negotiation, and structuring of a non-possessory pledge under a New York law-governed credit facility. </w:t>
                </w:r>
                <w:r>
                  <w:rPr>
                    <w:color w:val="FF0000"/>
                    <w:b/>
                  </w:rPr>
                  <w:t xml:space="preserve">Eduardo Yrigoyen</w:t>
                </w:r>
                <w:r>
                  <w:rPr>
                    <w:color w:val="FF0000"/>
                  </w:rPr>
                  <w:t xml:space="preserve"> helped secure a </w:t>
                </w:r>
                <w:r>
                  <w:rPr>
                    <w:color w:val="FF0000"/>
                    <w:b/>
                  </w:rPr>
                  <w:t xml:space="preserve">USD 235 million</w:t>
                </w:r>
                <w:r>
                  <w:rPr>
                    <w:color w:val="FF0000"/>
                  </w:rPr>
                  <w:t xml:space="preserve"> loan, ensuring compliance with Mexican regulations and contributing to the execution of the transaction.</w:t>
                </w:r>
              </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 xml:space="preserve">N</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 xml:space="preserve">N</w:t>
            </w:r>
          </w:p>
        </w:tc>
        <w:tc>
          <w:tcPr>
            <w:tcW w:w="2203"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 xml:space="preserve"/>
            </w:r>
          </w:p>
        </w:tc>
      </w:tr>
      <w:tr w:rsidR="0029029F" w:rsidTr="0029029F">
        <w:trPr>
          <w:cantSplit/>
          <w:trHeight w:val="851"/>
        </w:trPr>
        <w:tc>
          <w:tcPr>
            <w:tcW w:w="2042"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Pr>
                <w:sz w:val="22"/>
                <w:szCs w:val="22"/>
              </w:rPr>
              <w:t xml:space="preserve"/>
            </w:r>
          </w:p>
        </w:tc>
        <w:tc>
          <w:tcPr>
            <w:tcW w:w="3118"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Pr>
                <w:sz w:val="22"/>
                <w:szCs w:val="22"/>
              </w:rPr>
              <w:t xml:space="preserve"/>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 xml:space="preserve"/>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 xml:space="preserve"/>
            </w:r>
          </w:p>
        </w:tc>
        <w:tc>
          <w:tcPr>
            <w:tcW w:w="2203"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 xml:space="preserve"/>
            </w:r>
          </w:p>
        </w:tc>
      </w:tr>
      <w:tr w:rsidR="0029029F" w:rsidTr="0029029F">
        <w:trPr>
          <w:cantSplit/>
          <w:trHeight w:val="851"/>
        </w:trPr>
        <w:tc>
          <w:tcPr>
            <w:tcW w:w="2042"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Pr>
                <w:sz w:val="22"/>
                <w:szCs w:val="22"/>
              </w:rPr>
              <w:t xml:space="preserve"/>
            </w:r>
          </w:p>
        </w:tc>
        <w:tc>
          <w:tcPr>
            <w:tcW w:w="3118"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Pr>
                <w:sz w:val="22"/>
                <w:szCs w:val="22"/>
              </w:rPr>
              <w:t xml:space="preserve"/>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 xml:space="preserve"/>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 xml:space="preserve"/>
            </w:r>
          </w:p>
        </w:tc>
        <w:tc>
          <w:tcPr>
            <w:tcW w:w="2203"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 xml:space="preserve"/>
            </w:r>
          </w:p>
        </w:tc>
      </w:tr>
      <w:bookmarkEnd w:id="1"/>
    </w:tbl>
    <w:p w:rsidR="00426621" w:rsidRDefault="00426621" w:rsidP="00AB2803">
      <w:pPr>
        <w:pStyle w:val="Sinespaciado"/>
      </w:pPr>
    </w:p>
    <w:p w:rsidR="00426621" w:rsidRDefault="00426621" w:rsidP="00AB2803">
      <w:pPr>
        <w:pStyle w:val="Sinespaciado"/>
      </w:pPr>
    </w:p>
    <w:p w:rsidR="00AB2803" w:rsidRDefault="00AB2803" w:rsidP="00AB2803">
      <w:pPr>
        <w:pStyle w:val="Sinespaciado"/>
      </w:pPr>
    </w:p>
    <w:tbl>
      <w:tblPr>
        <w:tblW w:w="9698" w:type="dxa"/>
        <w:tblInd w:w="55" w:type="dxa"/>
        <w:tblLayout w:type="fixed"/>
        <w:tblCellMar>
          <w:top w:w="55" w:type="dxa"/>
          <w:left w:w="55" w:type="dxa"/>
          <w:bottom w:w="55" w:type="dxa"/>
          <w:right w:w="55" w:type="dxa"/>
        </w:tblCellMar>
        <w:tblLook w:val="0000" w:firstRow="0" w:lastRow="0" w:firstColumn="0" w:lastColumn="0" w:noHBand="0" w:noVBand="0"/>
      </w:tblPr>
      <w:tblGrid>
        <w:gridCol w:w="9698"/>
      </w:tblGrid>
      <w:tr w:rsidR="00A022E8" w:rsidTr="00B87B1F">
        <w:trPr>
          <w:cantSplit/>
        </w:trPr>
        <w:tc>
          <w:tcPr>
            <w:tcW w:w="9698" w:type="dxa"/>
            <w:tcBorders>
              <w:top w:val="single" w:sz="4" w:space="0" w:color="C0C0C0"/>
              <w:left w:val="single" w:sz="4" w:space="0" w:color="C0C0C0"/>
              <w:bottom w:val="single" w:sz="4" w:space="0" w:color="C0C0C0"/>
              <w:right w:val="single" w:sz="4" w:space="0" w:color="C0C0C0"/>
            </w:tcBorders>
            <w:shd w:val="clear" w:color="auto" w:fill="auto"/>
          </w:tcPr>
          <w:p w:rsidR="00A022E8" w:rsidRDefault="00A022E8" w:rsidP="00B9523C">
            <w:pPr>
              <w:keepNext/>
              <w:keepLines/>
              <w:snapToGrid w:val="0"/>
              <w:rPr>
                <w:i/>
                <w:iCs/>
                <w:sz w:val="22"/>
                <w:szCs w:val="22"/>
              </w:rPr>
            </w:pPr>
            <w:r w:rsidRPr="00B87B1F">
              <w:rPr>
                <w:sz w:val="14"/>
                <w:szCs w:val="14"/>
              </w:rPr>
              <w:lastRenderedPageBreak/>
              <w:t>B</w:t>
            </w:r>
            <w:r w:rsidR="00F25C5D">
              <w:rPr>
                <w:sz w:val="14"/>
                <w:szCs w:val="14"/>
              </w:rPr>
              <w:t>7</w:t>
            </w:r>
            <w:r w:rsidRPr="00B87B1F">
              <w:rPr>
                <w:sz w:val="14"/>
                <w:szCs w:val="14"/>
              </w:rPr>
              <w:t xml:space="preserve"> </w:t>
            </w:r>
            <w:r w:rsidRPr="00B87B1F">
              <w:rPr>
                <w:b/>
                <w:bCs/>
                <w:sz w:val="22"/>
                <w:szCs w:val="22"/>
              </w:rPr>
              <w:t>What is this department best known for?</w:t>
            </w:r>
          </w:p>
          <w:p w:rsidR="00A022E8" w:rsidRDefault="00A022E8" w:rsidP="00B9523C">
            <w:pPr>
              <w:snapToGrid w:val="0"/>
              <w:rPr>
                <w:i/>
                <w:iCs/>
                <w:sz w:val="22"/>
                <w:szCs w:val="22"/>
              </w:rPr>
            </w:pPr>
            <w:r>
              <w:rPr>
                <w:i/>
                <w:iCs/>
                <w:sz w:val="22"/>
                <w:szCs w:val="22"/>
              </w:rPr>
              <w:t xml:space="preserve">Please </w:t>
            </w:r>
            <w:r w:rsidR="00AB2803">
              <w:rPr>
                <w:i/>
                <w:iCs/>
                <w:sz w:val="22"/>
                <w:szCs w:val="22"/>
              </w:rPr>
              <w:t>include:</w:t>
            </w:r>
            <w:r>
              <w:rPr>
                <w:i/>
                <w:iCs/>
                <w:sz w:val="22"/>
                <w:szCs w:val="22"/>
              </w:rPr>
              <w:t xml:space="preserve"> industry sector expertise; key types of work; areas of recent growth.</w:t>
            </w:r>
          </w:p>
          <w:p w:rsidR="00A022E8" w:rsidRDefault="005F5416" w:rsidP="00B9523C">
            <w:pPr>
              <w:snapToGrid w:val="0"/>
            </w:pPr>
            <w:r>
              <w:rPr>
                <w:i/>
                <w:iCs/>
                <w:sz w:val="22"/>
                <w:szCs w:val="22"/>
              </w:rPr>
              <w:t>A</w:t>
            </w:r>
            <w:r w:rsidR="00B87B1F">
              <w:rPr>
                <w:i/>
                <w:iCs/>
                <w:sz w:val="22"/>
                <w:szCs w:val="22"/>
              </w:rPr>
              <w:t xml:space="preserve">ddress any feedback on our recent coverage of your </w:t>
            </w:r>
            <w:r w:rsidR="00B87B1F" w:rsidRPr="00B87B1F">
              <w:rPr>
                <w:i/>
                <w:iCs/>
                <w:sz w:val="22"/>
                <w:szCs w:val="22"/>
              </w:rPr>
              <w:t>department (500 word count limit)</w:t>
            </w:r>
          </w:p>
        </w:tc>
      </w:tr>
      <w:tr w:rsidR="00A022E8" w:rsidTr="00B87B1F">
        <w:trPr>
          <w:trHeight w:val="6236"/>
        </w:trPr>
        <w:tc>
          <w:tcPr>
            <w:tcW w:w="9698" w:type="dxa"/>
            <w:tcBorders>
              <w:top w:val="single" w:sz="4" w:space="0" w:color="C0C0C0"/>
              <w:left w:val="single" w:sz="4" w:space="0" w:color="C0C0C0"/>
              <w:bottom w:val="single" w:sz="4" w:space="0" w:color="C0C0C0"/>
              <w:right w:val="single" w:sz="4" w:space="0" w:color="C0C0C0"/>
            </w:tcBorders>
            <w:shd w:val="clear" w:color="auto" w:fill="FFFFCC"/>
          </w:tcPr>
          <w:p w:rsidR="00A022E8" w:rsidRPr="00D6769D" w:rsidRDefault="008E4B38" w:rsidP="00B9523C">
            <w:pPr>
              <w:pStyle w:val="TableContents"/>
              <w:shd w:val="clear" w:color="auto" w:fill="FFFFCC"/>
              <w:snapToGrid w:val="0"/>
              <w:rPr>
                <w:sz w:val="22"/>
                <w:szCs w:val="22"/>
              </w:rPr>
            </w:pPr>
            <w:r>
              <w:rPr>
                <w:sz w:val="22"/>
                <w:szCs w:val="22"/>
              </w:rPr>
              <w:t xml:space="preserve">
                <w:r>
                  <w:t xml:space="preserve">https://pcga.mx/?p=en</w:t>
                </w:r>
                <w:r>
                  <w:t xml:space="preserve"/>
                  <w:br/>
                  <w:t xml:space="preserve"/>
                </w:r>
                <w:r>
                  <w:t xml:space="preserve"/>
                  <w:br/>
                  <w:t xml:space="preserve"/>
                </w:r>
                <w:r>
                  <w:t xml:space="preserve"/>
                  <w:br/>
                  <w:t xml:space="preserve"/>
                </w:r>
                <w:r>
                  <w:t xml:space="preserve">Current ranking: Potential</w:t>
                </w:r>
                <w:r>
                  <w:t xml:space="preserve"/>
                  <w:br/>
                  <w:t xml:space="preserve"/>
                </w:r>
                <w:r>
                  <w:t xml:space="preserve"/>
                  <w:br/>
                  <w:t xml:space="preserve"/>
                </w:r>
                <w:r>
                  <w:t xml:space="preserve"/>
                  <w:br/>
                  <w:t xml:space="preserve"/>
                </w:r>
                <w:r>
                  <w:t xml:space="preserve">Suggested ranking: Band 5</w:t>
                </w:r>
                <w:r>
                  <w:t xml:space="preserve"/>
                  <w:br/>
                  <w:t xml:space="preserve"/>
                </w:r>
                <w:r>
                  <w:t xml:space="preserve"/>
                  <w:br/>
                  <w:t xml:space="preserve"/>
                </w:r>
                <w:r>
                  <w:t xml:space="preserve"/>
                  <w:br/>
                  <w:t xml:space="preserve"/>
                </w:r>
                <w:r>
                  <w:t xml:space="preserve">Supporting information:</w:t>
                </w:r>
                <w:r>
                  <w:t xml:space="preserve"/>
                  <w:br/>
                  <w:t xml:space="preserve"/>
                </w:r>
                <w:r>
                  <w:t xml:space="preserve"/>
                  <w:br/>
                  <w:t xml:space="preserve"/>
                </w:r>
                <w:r>
                  <w:t xml:space="preserve"/>
                  <w:br/>
                  <w:t xml:space="preserve"/>
                </w:r>
                <w:r>
                  <w:t xml:space="preserve">Pérez Correa González’s </w:t>
                </w:r>
                <w:r>
                  <w:rPr>
                    <w:b/>
                  </w:rPr>
                  <w:t xml:space="preserve">Banking  Finance</w:t>
                </w:r>
                <w:r>
                  <w:t xml:space="preserve"> department is known for cross-border financings, fintech, and regulatory compliance. The team works closely with the firm’s </w:t>
                </w:r>
                <w:r>
                  <w:rPr>
                    <w:b/>
                  </w:rPr>
                  <w:t xml:space="preserve">MA</w:t>
                </w:r>
                <w:r>
                  <w:t xml:space="preserve">, </w:t>
                </w:r>
                <w:r>
                  <w:rPr>
                    <w:b/>
                  </w:rPr>
                  <w:t xml:space="preserve">Dispute Resolutions</w:t>
                </w:r>
                <w:r>
                  <w:t xml:space="preserve">, </w:t>
                </w:r>
                <w:r>
                  <w:rPr>
                    <w:b/>
                  </w:rPr>
                  <w:t xml:space="preserve">Bankruptcy</w:t>
                </w:r>
                <w:r>
                  <w:t xml:space="preserve">, and </w:t>
                </w:r>
                <w:r>
                  <w:rPr>
                    <w:b/>
                  </w:rPr>
                  <w:t xml:space="preserve">Tax</w:t>
                </w:r>
                <w:r>
                  <w:t xml:space="preserve"> practices to deliver coordinated advice on transactions requiring alignment across disciplines and legal systems. It is regularly instructed by institutions such as </w:t>
                </w:r>
                <w:r>
                  <w:rPr>
                    <w:b/>
                  </w:rPr>
                  <w:t xml:space="preserve">Sumitomo Mitsui Banking Corporation</w:t>
                </w:r>
                <w:r>
                  <w:t xml:space="preserve">, the </w:t>
                </w:r>
                <w:r>
                  <w:rPr>
                    <w:b/>
                  </w:rPr>
                  <w:t xml:space="preserve">United States International Development Finance Corporation (DFC)</w:t>
                </w:r>
                <w:r>
                  <w:t xml:space="preserve">, and </w:t>
                </w:r>
                <w:r>
                  <w:rPr>
                    <w:b/>
                  </w:rPr>
                  <w:t xml:space="preserve">TMF Group</w:t>
                </w:r>
                <w:r>
                  <w:t xml:space="preserve">, reflecting a steady flow of institutional work.</w:t>
                </w:r>
                <w:r>
                  <w:t xml:space="preserve"/>
                  <w:br/>
                  <w:t xml:space="preserve"/>
                </w:r>
                <w:r>
                  <w:t xml:space="preserve"/>
                  <w:br/>
                  <w:t xml:space="preserve"/>
                </w:r>
                <w:r>
                  <w:t xml:space="preserve"/>
                  <w:br/>
                  <w:t xml:space="preserve"/>
                </w:r>
                <w:r>
                  <w:t xml:space="preserve">The practice is particularly active in transactions that require navigating dual legal frameworks, combining New York law financing with Mexican collateral packages and regulatory analysis. Recent work includes advising </w:t>
                </w:r>
                <w:r>
                  <w:rPr>
                    <w:b/>
                  </w:rPr>
                  <w:t xml:space="preserve">SMBC, S.A.P.I. de C.V., SOFOM, E.N.R.</w:t>
                </w:r>
                <w:r>
                  <w:t xml:space="preserve"> on a </w:t>
                </w:r>
                <w:r>
                  <w:rPr>
                    <w:b/>
                  </w:rPr>
                  <w:t xml:space="preserve">USD 850 million</w:t>
                </w:r>
                <w:r>
                  <w:t xml:space="preserve"> credit facility provided by </w:t>
                </w:r>
                <w:r>
                  <w:rPr>
                    <w:b/>
                  </w:rPr>
                  <w:t xml:space="preserve">Banobras</w:t>
                </w:r>
                <w:r>
                  <w:t xml:space="preserve">, and advising </w:t>
                </w:r>
                <w:r>
                  <w:rPr>
                    <w:b/>
                  </w:rPr>
                  <w:t xml:space="preserve">SUCRO CAN SOURCING, LLC</w:t>
                </w:r>
                <w:r>
                  <w:t xml:space="preserve"> on a </w:t>
                </w:r>
                <w:r>
                  <w:rPr>
                    <w:b/>
                  </w:rPr>
                  <w:t xml:space="preserve">USD 250 million</w:t>
                </w:r>
                <w:r>
                  <w:t xml:space="preserve"> New York law-governed credit facility secured by Mexican collateral.</w:t>
                </w:r>
                <w:r>
                  <w:t xml:space="preserve"/>
                  <w:br/>
                  <w:t xml:space="preserve"/>
                </w:r>
                <w:r>
                  <w:t xml:space="preserve"/>
                  <w:br/>
                  <w:t xml:space="preserve"/>
                </w:r>
                <w:r>
                  <w:t xml:space="preserve"/>
                  <w:br/>
                  <w:t xml:space="preserve"/>
                </w:r>
                <w:r>
                  <w:t xml:space="preserve">The team also supports technology-driven platforms with regulatory and contractual issues. It regularly advises </w:t>
                </w:r>
                <w:r>
                  <w:rPr>
                    <w:b/>
                  </w:rPr>
                  <w:t xml:space="preserve">Grupo Finansiell (Doopla)</w:t>
                </w:r>
                <w:r>
                  <w:t xml:space="preserve"> on crowdfunding and fintech matters, and advised </w:t>
                </w:r>
                <w:r>
                  <w:rPr>
                    <w:b/>
                  </w:rPr>
                  <w:t xml:space="preserve">Elevva LLC</w:t>
                </w:r>
                <w:r>
                  <w:t xml:space="preserve"> on two cross-border credit facilities worth </w:t>
                </w:r>
                <w:r>
                  <w:rPr>
                    <w:b/>
                  </w:rPr>
                  <w:t xml:space="preserve">USD 20 million</w:t>
                </w:r>
                <w:r>
                  <w:t xml:space="preserve">.</w:t>
                </w:r>
                <w:r>
                  <w:t xml:space="preserve"/>
                  <w:br/>
                  <w:t xml:space="preserve"/>
                </w:r>
                <w:r>
                  <w:t xml:space="preserve"/>
                  <w:br/>
                  <w:t xml:space="preserve"/>
                </w:r>
                <w:r>
                  <w:t xml:space="preserve"/>
                  <w:br/>
                  <w:t xml:space="preserve"/>
                </w:r>
                <w:r>
                  <w:t xml:space="preserve">Its track record further includes cross-border financings such as advising </w:t>
                </w:r>
                <w:r>
                  <w:rPr>
                    <w:b/>
                  </w:rPr>
                  <w:t xml:space="preserve">Truelink Capital</w:t>
                </w:r>
                <w:r>
                  <w:t xml:space="preserve"> on a </w:t>
                </w:r>
                <w:r>
                  <w:rPr>
                    <w:b/>
                  </w:rPr>
                  <w:t xml:space="preserve">USD 246 million</w:t>
                </w:r>
                <w:r>
                  <w:t xml:space="preserve"> acquisition facility for Air Distribution Technologies, and advising </w:t>
                </w:r>
                <w:r>
                  <w:rPr>
                    <w:b/>
                  </w:rPr>
                  <w:t xml:space="preserve">BMO Bank</w:t>
                </w:r>
                <w:r>
                  <w:t xml:space="preserve"> on a </w:t>
                </w:r>
                <w:r>
                  <w:rPr>
                    <w:b/>
                  </w:rPr>
                  <w:t xml:space="preserve">USD 235 million</w:t>
                </w:r>
                <w:r>
                  <w:t xml:space="preserve"> credit facility for </w:t>
                </w:r>
                <w:r>
                  <w:rPr>
                    <w:b/>
                  </w:rPr>
                  <w:t xml:space="preserve">AJC International</w:t>
                </w:r>
                <w:r>
                  <w:t xml:space="preserve"> and </w:t>
                </w:r>
                <w:r>
                  <w:rPr>
                    <w:b/>
                  </w:rPr>
                  <w:t xml:space="preserve">Amerifoods</w:t>
                </w:r>
                <w:r>
                  <w:t xml:space="preserve">, with due diligence, negotiation, and collateral structuring under New York law. The department also has experience on transactions with a social-development angle, including advising </w:t>
                </w:r>
                <w:r>
                  <w:rPr>
                    <w:b/>
                  </w:rPr>
                  <w:t xml:space="preserve">DFC</w:t>
                </w:r>
                <w:r>
                  <w:t xml:space="preserve"> on two facilities to support the development of more than 5,000 affordable homes in Mexico, and advising the </w:t>
                </w:r>
                <w:r>
                  <w:rPr>
                    <w:b/>
                  </w:rPr>
                  <w:t xml:space="preserve">IDB</w:t>
                </w:r>
                <w:r>
                  <w:t xml:space="preserve"> on the Mexican component of a multi-jurisdictional collateral package for a Chilean borrower.</w:t>
                </w:r>
                <w:r>
                  <w:t xml:space="preserve"/>
                  <w:br/>
                  <w:t xml:space="preserve"/>
                </w:r>
                <w:r>
                  <w:t xml:space="preserve"/>
                  <w:br/>
                  <w:t xml:space="preserve"/>
                </w:r>
                <w:r>
                  <w:t xml:space="preserve"/>
                  <w:br/>
                  <w:t xml:space="preserve"/>
                </w:r>
                <w:r>
                  <w:t xml:space="preserve">In addition, the team advises on corporate debt restructurings, including work for </w:t>
                </w:r>
                <w:r>
                  <w:rPr>
                    <w:b/>
                  </w:rPr>
                  <w:t xml:space="preserve">Grupo Concord</w:t>
                </w:r>
                <w:r>
                  <w:t xml:space="preserve"> on an operational restructuring and revolving loan facility, and for </w:t>
                </w:r>
                <w:r>
                  <w:rPr>
                    <w:b/>
                  </w:rPr>
                  <w:t xml:space="preserve">Stereorey México</w:t>
                </w:r>
                <w:r>
                  <w:t xml:space="preserve"> on a syndicated loan facility with </w:t>
                </w:r>
                <w:r>
                  <w:rPr>
                    <w:b/>
                  </w:rPr>
                  <w:t xml:space="preserve">HSBC México</w:t>
                </w:r>
                <w:r>
                  <w:t xml:space="preserve"> and </w:t>
                </w:r>
                <w:r>
                  <w:rPr>
                    <w:b/>
                  </w:rPr>
                  <w:t xml:space="preserve">Banco Ve por Más</w:t>
                </w:r>
                <w:r>
                  <w:t xml:space="preserve">. It also works with international law firms, including Miranda  Amado and Barros  Errázuriz, on multi-jurisdictional matters, which underscores its ability to support complex cross-border financings.</w:t>
                </w:r>
              </w:t>
            </w:r>
          </w:p>
        </w:tc>
      </w:tr>
    </w:tbl>
    <w:p w:rsidR="00A022E8" w:rsidRDefault="00A022E8" w:rsidP="00A022E8"/>
    <w:p w:rsidR="00AB2803" w:rsidRPr="00AB2803" w:rsidRDefault="00AB2803" w:rsidP="00AB2803">
      <w:pPr>
        <w:pStyle w:val="Textoindependiente"/>
        <w:snapToGrid w:val="0"/>
        <w:spacing w:line="360" w:lineRule="auto"/>
        <w:jc w:val="center"/>
        <w:rPr>
          <w:b/>
          <w:bCs/>
        </w:rPr>
      </w:pPr>
      <w:r>
        <w:rPr>
          <w:b/>
          <w:bCs/>
        </w:rPr>
        <w:br w:type="page"/>
      </w:r>
      <w:r>
        <w:rPr>
          <w:b/>
          <w:bCs/>
        </w:rPr>
        <w:lastRenderedPageBreak/>
        <w:t>C. FEEDBACK</w:t>
      </w:r>
    </w:p>
    <w:tbl>
      <w:tblPr>
        <w:tblW w:w="9718" w:type="dxa"/>
        <w:tblInd w:w="55" w:type="dxa"/>
        <w:tblLayout w:type="fixed"/>
        <w:tblCellMar>
          <w:top w:w="55" w:type="dxa"/>
          <w:left w:w="55" w:type="dxa"/>
          <w:bottom w:w="55" w:type="dxa"/>
          <w:right w:w="55" w:type="dxa"/>
        </w:tblCellMar>
        <w:tblLook w:val="0000" w:firstRow="0" w:lastRow="0" w:firstColumn="0" w:lastColumn="0" w:noHBand="0" w:noVBand="0"/>
      </w:tblPr>
      <w:tblGrid>
        <w:gridCol w:w="3212"/>
        <w:gridCol w:w="3213"/>
        <w:gridCol w:w="3293"/>
      </w:tblGrid>
      <w:tr w:rsidR="00AB2803" w:rsidTr="00AB2803">
        <w:tc>
          <w:tcPr>
            <w:tcW w:w="9718" w:type="dxa"/>
            <w:gridSpan w:val="3"/>
            <w:tcBorders>
              <w:top w:val="single" w:sz="4" w:space="0" w:color="C0C0C0"/>
              <w:left w:val="single" w:sz="4" w:space="0" w:color="C0C0C0"/>
              <w:bottom w:val="single" w:sz="4" w:space="0" w:color="C0C0C0"/>
              <w:right w:val="single" w:sz="4" w:space="0" w:color="C0C0C0"/>
            </w:tcBorders>
            <w:shd w:val="clear" w:color="auto" w:fill="auto"/>
          </w:tcPr>
          <w:p w:rsidR="00AB2803" w:rsidRPr="00835B10" w:rsidRDefault="00AB2803" w:rsidP="00B9523C">
            <w:pPr>
              <w:keepNext/>
              <w:keepLines/>
              <w:snapToGrid w:val="0"/>
              <w:rPr>
                <w:i/>
                <w:iCs/>
              </w:rPr>
            </w:pPr>
            <w:r w:rsidRPr="00AB2803">
              <w:rPr>
                <w:sz w:val="14"/>
                <w:szCs w:val="14"/>
              </w:rPr>
              <w:t xml:space="preserve">C1 </w:t>
            </w:r>
            <w:r>
              <w:rPr>
                <w:sz w:val="22"/>
                <w:szCs w:val="22"/>
              </w:rPr>
              <w:t>If you have used barristers / advocates in the UK, Australia, Hong Kong, India, Malaysia, New Zealand or Sri Lanka please provide the information below</w:t>
            </w:r>
            <w:r w:rsidR="009B2AE2">
              <w:rPr>
                <w:sz w:val="22"/>
                <w:szCs w:val="22"/>
              </w:rPr>
              <w:t xml:space="preserve"> </w:t>
            </w:r>
            <w:r w:rsidR="00835B10">
              <w:rPr>
                <w:sz w:val="22"/>
                <w:szCs w:val="22"/>
              </w:rPr>
              <w:t xml:space="preserve"> </w:t>
            </w:r>
            <w:r w:rsidR="00835B10">
              <w:rPr>
                <w:i/>
                <w:iCs/>
                <w:sz w:val="22"/>
                <w:szCs w:val="22"/>
              </w:rPr>
              <w:t>(Optional)</w:t>
            </w:r>
          </w:p>
        </w:tc>
      </w:tr>
      <w:tr w:rsidR="00AB2803" w:rsidTr="00AB2803">
        <w:tc>
          <w:tcPr>
            <w:tcW w:w="3212" w:type="dxa"/>
            <w:tcBorders>
              <w:top w:val="single" w:sz="4" w:space="0" w:color="C0C0C0"/>
              <w:left w:val="single" w:sz="4" w:space="0" w:color="C0C0C0"/>
              <w:bottom w:val="single" w:sz="4" w:space="0" w:color="C0C0C0"/>
            </w:tcBorders>
            <w:shd w:val="clear" w:color="auto" w:fill="auto"/>
          </w:tcPr>
          <w:p w:rsidR="00AB2803" w:rsidRDefault="00AB2803" w:rsidP="00B9523C">
            <w:pPr>
              <w:pStyle w:val="TableContents"/>
              <w:keepNext/>
              <w:snapToGrid w:val="0"/>
              <w:jc w:val="center"/>
              <w:rPr>
                <w:sz w:val="22"/>
                <w:szCs w:val="22"/>
              </w:rPr>
            </w:pPr>
            <w:r>
              <w:rPr>
                <w:sz w:val="22"/>
                <w:szCs w:val="22"/>
              </w:rPr>
              <w:t>Barrister/advocate name</w:t>
            </w:r>
          </w:p>
        </w:tc>
        <w:tc>
          <w:tcPr>
            <w:tcW w:w="3213" w:type="dxa"/>
            <w:tcBorders>
              <w:top w:val="single" w:sz="4" w:space="0" w:color="C0C0C0"/>
              <w:left w:val="single" w:sz="4" w:space="0" w:color="C0C0C0"/>
              <w:bottom w:val="single" w:sz="4" w:space="0" w:color="C0C0C0"/>
            </w:tcBorders>
            <w:shd w:val="clear" w:color="auto" w:fill="auto"/>
          </w:tcPr>
          <w:p w:rsidR="00AB2803" w:rsidRDefault="00AB2803" w:rsidP="00B9523C">
            <w:pPr>
              <w:pStyle w:val="TableContents"/>
              <w:keepNext/>
              <w:snapToGrid w:val="0"/>
              <w:jc w:val="center"/>
              <w:rPr>
                <w:sz w:val="22"/>
                <w:szCs w:val="22"/>
              </w:rPr>
            </w:pPr>
            <w:r>
              <w:rPr>
                <w:sz w:val="22"/>
                <w:szCs w:val="22"/>
              </w:rPr>
              <w:t>Firm / Set</w:t>
            </w:r>
          </w:p>
        </w:tc>
        <w:tc>
          <w:tcPr>
            <w:tcW w:w="3293" w:type="dxa"/>
            <w:tcBorders>
              <w:top w:val="single" w:sz="4" w:space="0" w:color="C0C0C0"/>
              <w:left w:val="single" w:sz="4" w:space="0" w:color="C0C0C0"/>
              <w:bottom w:val="single" w:sz="4" w:space="0" w:color="C0C0C0"/>
              <w:right w:val="single" w:sz="4" w:space="0" w:color="C0C0C0"/>
            </w:tcBorders>
            <w:shd w:val="clear" w:color="auto" w:fill="auto"/>
          </w:tcPr>
          <w:p w:rsidR="00AB2803" w:rsidRDefault="00AB2803" w:rsidP="00B9523C">
            <w:pPr>
              <w:pStyle w:val="TableContents"/>
              <w:keepNext/>
              <w:snapToGrid w:val="0"/>
              <w:jc w:val="center"/>
            </w:pPr>
            <w:r>
              <w:rPr>
                <w:sz w:val="22"/>
                <w:szCs w:val="22"/>
              </w:rPr>
              <w:t>Comments</w:t>
            </w:r>
          </w:p>
        </w:tc>
      </w:tr>
      <w:tr w:rsidR="00AB2803" w:rsidTr="00AB2803">
        <w:trPr>
          <w:trHeight w:val="850"/>
        </w:trPr>
        <w:tc>
          <w:tcPr>
            <w:tcW w:w="3212"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c>
          <w:tcPr>
            <w:tcW w:w="3213"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c>
          <w:tcPr>
            <w:tcW w:w="329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r>
      <w:tr w:rsidR="00AB2803" w:rsidTr="00AB2803">
        <w:trPr>
          <w:trHeight w:val="850"/>
        </w:trPr>
        <w:tc>
          <w:tcPr>
            <w:tcW w:w="3212"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c>
          <w:tcPr>
            <w:tcW w:w="3213"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c>
          <w:tcPr>
            <w:tcW w:w="329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r>
      <w:tr w:rsidR="00AB2803" w:rsidTr="00AB2803">
        <w:trPr>
          <w:trHeight w:val="850"/>
        </w:trPr>
        <w:tc>
          <w:tcPr>
            <w:tcW w:w="3212"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c>
          <w:tcPr>
            <w:tcW w:w="3213"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c>
          <w:tcPr>
            <w:tcW w:w="329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r>
      <w:tr w:rsidR="00AB2803" w:rsidTr="00AB2803">
        <w:trPr>
          <w:trHeight w:val="850"/>
        </w:trPr>
        <w:tc>
          <w:tcPr>
            <w:tcW w:w="3212"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c>
          <w:tcPr>
            <w:tcW w:w="3213"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c>
          <w:tcPr>
            <w:tcW w:w="329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r>
      <w:tr w:rsidR="00AB2803" w:rsidTr="00AB2803">
        <w:trPr>
          <w:trHeight w:val="850"/>
        </w:trPr>
        <w:tc>
          <w:tcPr>
            <w:tcW w:w="3212"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c>
          <w:tcPr>
            <w:tcW w:w="3213"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c>
          <w:tcPr>
            <w:tcW w:w="329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r>
      <w:tr w:rsidR="00AB2803" w:rsidTr="00AB2803">
        <w:trPr>
          <w:trHeight w:val="850"/>
        </w:trPr>
        <w:tc>
          <w:tcPr>
            <w:tcW w:w="3212"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c>
          <w:tcPr>
            <w:tcW w:w="3213"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c>
          <w:tcPr>
            <w:tcW w:w="329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r>
      <w:tr w:rsidR="00AB2803" w:rsidTr="00AB2803">
        <w:trPr>
          <w:trHeight w:val="850"/>
        </w:trPr>
        <w:tc>
          <w:tcPr>
            <w:tcW w:w="3212"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c>
          <w:tcPr>
            <w:tcW w:w="3213"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c>
          <w:tcPr>
            <w:tcW w:w="329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r>
      <w:tr w:rsidR="00AB2803" w:rsidTr="00AB2803">
        <w:trPr>
          <w:trHeight w:val="850"/>
        </w:trPr>
        <w:tc>
          <w:tcPr>
            <w:tcW w:w="3212"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c>
          <w:tcPr>
            <w:tcW w:w="3213"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c>
          <w:tcPr>
            <w:tcW w:w="329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
            </w:r>
          </w:p>
        </w:tc>
      </w:tr>
    </w:tbl>
    <w:p w:rsidR="00AB2803" w:rsidRDefault="00AB2803" w:rsidP="00AB2803">
      <w:pPr>
        <w:pStyle w:val="InterTableSpacer"/>
      </w:pPr>
    </w:p>
    <w:p w:rsidR="00AB2803" w:rsidRDefault="00AB2803" w:rsidP="00AB2803"/>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9698"/>
      </w:tblGrid>
      <w:tr w:rsidR="00AB2803" w:rsidTr="00B9523C">
        <w:trPr>
          <w:cantSplit/>
          <w:trHeight w:val="432"/>
        </w:trPr>
        <w:tc>
          <w:tcPr>
            <w:tcW w:w="9698" w:type="dxa"/>
            <w:tcBorders>
              <w:top w:val="single" w:sz="4" w:space="0" w:color="C0C0C0"/>
              <w:left w:val="single" w:sz="4" w:space="0" w:color="C0C0C0"/>
              <w:bottom w:val="single" w:sz="4" w:space="0" w:color="C0C0C0"/>
              <w:right w:val="single" w:sz="4" w:space="0" w:color="C0C0C0"/>
            </w:tcBorders>
            <w:shd w:val="clear" w:color="auto" w:fill="FFFFFF"/>
          </w:tcPr>
          <w:p w:rsidR="00AB2803" w:rsidRDefault="00AB2803" w:rsidP="00B9523C">
            <w:pPr>
              <w:pStyle w:val="TableContents"/>
              <w:keepNext/>
            </w:pPr>
            <w:r w:rsidRPr="00AB2803">
              <w:rPr>
                <w:sz w:val="14"/>
                <w:szCs w:val="14"/>
              </w:rPr>
              <w:lastRenderedPageBreak/>
              <w:t>C2</w:t>
            </w:r>
            <w:r>
              <w:rPr>
                <w:sz w:val="22"/>
                <w:szCs w:val="22"/>
              </w:rPr>
              <w:t xml:space="preserve"> Feedback on our coverage of this practice area</w:t>
            </w:r>
            <w:r w:rsidRPr="00AB2803">
              <w:rPr>
                <w:i/>
                <w:iCs/>
                <w:sz w:val="22"/>
                <w:szCs w:val="22"/>
              </w:rPr>
              <w:t xml:space="preserve"> (Optional)</w:t>
            </w:r>
          </w:p>
        </w:tc>
      </w:tr>
      <w:tr w:rsidR="00AB2803" w:rsidTr="00B9523C">
        <w:trPr>
          <w:trHeight w:val="3969"/>
        </w:trPr>
        <w:tc>
          <w:tcPr>
            <w:tcW w:w="9698"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8C28F0" w:rsidP="00B9523C">
            <w:pPr>
              <w:pStyle w:val="TableContents"/>
              <w:snapToGrid w:val="0"/>
              <w:rPr>
                <w:sz w:val="22"/>
                <w:szCs w:val="22"/>
              </w:rPr>
            </w:pPr>
            <w:r>
              <w:rPr>
                <w:sz w:val="22"/>
                <w:szCs w:val="22"/>
              </w:rPr>
              <w:t xml:space="preserve">We would be happy to discuss the market during a telephone interview.</w:t>
            </w:r>
          </w:p>
        </w:tc>
      </w:tr>
    </w:tbl>
    <w:p w:rsidR="00AB2803" w:rsidRDefault="00AB2803" w:rsidP="00AB2803">
      <w:pPr>
        <w:keepNext/>
        <w:snapToGrid w:val="0"/>
        <w:spacing w:line="360" w:lineRule="auto"/>
      </w:pPr>
    </w:p>
    <w:p w:rsidR="001B4B35" w:rsidRDefault="001B4B35" w:rsidP="001B4B35">
      <w:pPr>
        <w:pStyle w:val="Textoindependiente"/>
        <w:snapToGrid w:val="0"/>
        <w:spacing w:line="360" w:lineRule="auto"/>
        <w:jc w:val="center"/>
        <w:rPr>
          <w:b/>
          <w:bCs/>
        </w:rPr>
        <w:sectPr w:rsidR="001B4B35" w:rsidSect="00813FA9">
          <w:headerReference w:type="default" r:id="rId14"/>
          <w:footerReference w:type="default" r:id="rId15"/>
          <w:pgSz w:w="11906" w:h="16838"/>
          <w:pgMar w:top="1134" w:right="1134" w:bottom="1134" w:left="1134" w:header="720" w:footer="720" w:gutter="0"/>
          <w:cols w:space="720"/>
          <w:docGrid w:linePitch="360"/>
        </w:sectPr>
      </w:pPr>
    </w:p>
    <w:p w:rsidR="001B4B35" w:rsidRDefault="00A2186F" w:rsidP="001B4B35">
      <w:pPr>
        <w:pStyle w:val="Textoindependiente"/>
        <w:snapToGrid w:val="0"/>
        <w:spacing w:line="360" w:lineRule="auto"/>
        <w:jc w:val="center"/>
        <w:rPr>
          <w:b/>
          <w:bCs/>
        </w:rPr>
      </w:pPr>
      <w:bookmarkStart w:id="2" w:name="_Hlk22748130"/>
      <w:bookmarkStart w:id="3" w:name="_Hlk22748147"/>
      <w:r>
        <w:rPr>
          <w:b/>
          <w:bCs/>
        </w:rPr>
        <w:lastRenderedPageBreak/>
        <w:t>WORK HIGHLIGHTS AND CLIENTS</w:t>
      </w:r>
    </w:p>
    <w:p w:rsidR="00A2186F" w:rsidRPr="00A2186F" w:rsidRDefault="00A2186F" w:rsidP="00A2186F">
      <w:pPr>
        <w:pStyle w:val="Sinespaciado"/>
        <w:jc w:val="center"/>
        <w:rPr>
          <w:b/>
          <w:bCs/>
        </w:rPr>
      </w:pPr>
      <w:r w:rsidRPr="00A2186F">
        <w:rPr>
          <w:b/>
        </w:rPr>
        <w:t xml:space="preserve">Provide details of up-to </w:t>
      </w:r>
      <w:r w:rsidRPr="00A2186F">
        <w:rPr>
          <w:b/>
          <w:bCs/>
        </w:rPr>
        <w:t>a total of 20 work highlights</w:t>
      </w:r>
      <w:r w:rsidRPr="00A2186F">
        <w:rPr>
          <w:b/>
        </w:rPr>
        <w:t xml:space="preserve"> for this area. Matters may be either listed as publishable or confidential but the total should not exceed 20.</w:t>
      </w:r>
    </w:p>
    <w:p w:rsidR="001B4B35" w:rsidRDefault="001B4B35" w:rsidP="00D55D56"/>
    <w:bookmarkEnd w:id="2"/>
    <w:p w:rsidR="00A2186F" w:rsidRPr="00A2186F" w:rsidRDefault="00A2186F" w:rsidP="00D55D56">
      <w:pPr>
        <w:rPr>
          <w:b/>
        </w:rPr>
      </w:pPr>
      <w:r w:rsidRPr="00A2186F">
        <w:rPr>
          <w:b/>
        </w:rPr>
        <w:t xml:space="preserve">D. </w:t>
      </w:r>
      <w:r>
        <w:rPr>
          <w:b/>
        </w:rPr>
        <w:t>PUBLISHABLE INFORMATION</w:t>
      </w:r>
    </w:p>
    <w:p w:rsidR="00A2186F" w:rsidRDefault="00A2186F" w:rsidP="00D55D56">
      <w:pPr>
        <w:snapToGrid w:val="0"/>
        <w:spacing w:line="100" w:lineRule="atLeast"/>
        <w:rPr>
          <w:sz w:val="22"/>
          <w:szCs w:val="22"/>
        </w:rPr>
      </w:pPr>
    </w:p>
    <w:p w:rsidR="00AB2803" w:rsidRPr="001B4B35" w:rsidRDefault="00AB2803" w:rsidP="00D55D56">
      <w:pPr>
        <w:snapToGrid w:val="0"/>
        <w:spacing w:line="100" w:lineRule="atLeast"/>
        <w:rPr>
          <w:sz w:val="22"/>
          <w:szCs w:val="22"/>
        </w:rPr>
      </w:pPr>
      <w:r w:rsidRPr="001B4B35">
        <w:rPr>
          <w:sz w:val="22"/>
          <w:szCs w:val="22"/>
        </w:rPr>
        <w:t xml:space="preserve">All information in section 'D' is considered </w:t>
      </w:r>
      <w:r w:rsidRPr="001B4B35">
        <w:rPr>
          <w:sz w:val="22"/>
          <w:szCs w:val="22"/>
          <w:u w:val="single"/>
        </w:rPr>
        <w:t>PUBLISHABLE</w:t>
      </w:r>
      <w:r w:rsidRPr="001B4B35">
        <w:rPr>
          <w:sz w:val="22"/>
          <w:szCs w:val="22"/>
        </w:rPr>
        <w:t>.</w:t>
      </w:r>
      <w:r w:rsidR="001B4B35" w:rsidRPr="001B4B35">
        <w:rPr>
          <w:sz w:val="22"/>
          <w:szCs w:val="22"/>
        </w:rPr>
        <w:br/>
      </w:r>
      <w:r w:rsidRPr="001B4B35">
        <w:rPr>
          <w:sz w:val="22"/>
          <w:szCs w:val="22"/>
        </w:rPr>
        <w:t xml:space="preserve">Do not include any confidential information in this section. Confidential information can be included in section 'E'. Information in section 'D' may be printed in Chambers and Partners publications. If any part of a matter is confidential it should be included in section 'E' not this section 'D'. </w:t>
      </w:r>
      <w:r w:rsidRPr="001B4B35">
        <w:rPr>
          <w:sz w:val="22"/>
          <w:szCs w:val="22"/>
        </w:rPr>
        <w:br/>
      </w:r>
    </w:p>
    <w:tbl>
      <w:tblPr>
        <w:tblW w:w="0" w:type="auto"/>
        <w:tblInd w:w="-32" w:type="dxa"/>
        <w:tblLayout w:type="fixed"/>
        <w:tblCellMar>
          <w:top w:w="28" w:type="dxa"/>
          <w:left w:w="28" w:type="dxa"/>
          <w:bottom w:w="28" w:type="dxa"/>
          <w:right w:w="28" w:type="dxa"/>
        </w:tblCellMar>
        <w:tblLook w:val="0000" w:firstRow="0" w:lastRow="0" w:firstColumn="0" w:lastColumn="0" w:noHBand="0" w:noVBand="0"/>
      </w:tblPr>
      <w:tblGrid>
        <w:gridCol w:w="555"/>
        <w:gridCol w:w="6750"/>
        <w:gridCol w:w="2355"/>
      </w:tblGrid>
      <w:tr w:rsidR="00AB2803" w:rsidTr="00B9523C">
        <w:trPr>
          <w:trHeight w:val="375"/>
        </w:trPr>
        <w:tc>
          <w:tcPr>
            <w:tcW w:w="9660" w:type="dxa"/>
            <w:gridSpan w:val="3"/>
            <w:tcBorders>
              <w:top w:val="single" w:sz="4" w:space="0" w:color="C0C0C0"/>
              <w:left w:val="single" w:sz="4" w:space="0" w:color="C0C0C0"/>
              <w:bottom w:val="single" w:sz="4" w:space="0" w:color="C0C0C0"/>
              <w:right w:val="single" w:sz="4" w:space="0" w:color="C0C0C0"/>
            </w:tcBorders>
            <w:shd w:val="clear" w:color="auto" w:fill="auto"/>
          </w:tcPr>
          <w:p w:rsidR="00AB2803" w:rsidRDefault="00AB2803" w:rsidP="00B9523C">
            <w:pPr>
              <w:keepNext/>
              <w:snapToGrid w:val="0"/>
            </w:pPr>
            <w:r w:rsidRPr="001B4B35">
              <w:rPr>
                <w:sz w:val="14"/>
                <w:szCs w:val="14"/>
              </w:rPr>
              <w:lastRenderedPageBreak/>
              <w:t>D0</w:t>
            </w:r>
            <w:r>
              <w:rPr>
                <w:b/>
                <w:bCs/>
                <w:sz w:val="22"/>
                <w:szCs w:val="22"/>
              </w:rPr>
              <w:t xml:space="preserve"> – </w:t>
            </w:r>
            <w:r>
              <w:rPr>
                <w:b/>
                <w:bCs/>
                <w:sz w:val="22"/>
                <w:szCs w:val="22"/>
                <w:u w:val="single"/>
              </w:rPr>
              <w:t>PUBLISHABLE</w:t>
            </w:r>
            <w:r>
              <w:rPr>
                <w:b/>
                <w:bCs/>
                <w:sz w:val="22"/>
                <w:szCs w:val="22"/>
              </w:rPr>
              <w:t xml:space="preserve"> CLIENTS – </w:t>
            </w:r>
            <w:r>
              <w:rPr>
                <w:sz w:val="22"/>
                <w:szCs w:val="22"/>
              </w:rPr>
              <w:t xml:space="preserve">List of this department's </w:t>
            </w:r>
            <w:r>
              <w:rPr>
                <w:sz w:val="22"/>
                <w:szCs w:val="22"/>
                <w:u w:val="single"/>
              </w:rPr>
              <w:t>PUBLISHABLE</w:t>
            </w:r>
            <w:r>
              <w:rPr>
                <w:sz w:val="22"/>
                <w:szCs w:val="22"/>
              </w:rPr>
              <w:t xml:space="preserve"> clients. Please indicate whether a client is a new client (within the last 12 months). If this information is not known, leave the field blank.</w:t>
            </w:r>
          </w:p>
        </w:tc>
      </w:tr>
      <w:bookmarkEnd w:id="3"/>
      <w:tr w:rsidR="00E26DF6" w:rsidTr="00B9523C">
        <w:tblPrEx>
          <w:tblCellMar>
            <w:top w:w="57" w:type="dxa"/>
            <w:left w:w="57" w:type="dxa"/>
            <w:bottom w:w="57" w:type="dxa"/>
            <w:right w:w="57" w:type="dxa"/>
          </w:tblCellMar>
        </w:tblPrEx>
        <w:trPr>
          <w:trHeight w:val="36"/>
        </w:trPr>
        <w:tc>
          <w:tcPr>
            <w:tcW w:w="555" w:type="dxa"/>
            <w:tcBorders>
              <w:top w:val="single" w:sz="4" w:space="0" w:color="C0C0C0"/>
              <w:left w:val="single" w:sz="4" w:space="0" w:color="C0C0C0"/>
              <w:bottom w:val="single" w:sz="4" w:space="0" w:color="C0C0C0"/>
            </w:tcBorders>
            <w:shd w:val="clear" w:color="auto" w:fill="auto"/>
          </w:tcPr>
          <w:p w:rsidR="00E26DF6" w:rsidRPr="00083C2C" w:rsidRDefault="00E26DF6" w:rsidP="00083C2C">
            <w:pPr>
              <w:keepNext/>
              <w:snapToGrid w:val="0"/>
              <w:spacing w:line="360" w:lineRule="auto"/>
              <w:jc w:val="center"/>
              <w:rPr>
                <w:b/>
                <w:bCs/>
              </w:rPr>
            </w:pPr>
          </w:p>
        </w:tc>
        <w:tc>
          <w:tcPr>
            <w:tcW w:w="6750" w:type="dxa"/>
            <w:tcBorders>
              <w:top w:val="single" w:sz="4" w:space="0" w:color="C0C0C0"/>
              <w:left w:val="single" w:sz="4" w:space="0" w:color="C0C0C0"/>
              <w:bottom w:val="single" w:sz="4" w:space="0" w:color="C0C0C0"/>
            </w:tcBorders>
            <w:shd w:val="clear" w:color="auto" w:fill="CCFFCC"/>
          </w:tcPr>
          <w:p w:rsidR="00E26DF6" w:rsidRDefault="00E26DF6" w:rsidP="00E26DF6">
            <w:pPr>
              <w:keepNext/>
              <w:snapToGrid w:val="0"/>
              <w:spacing w:line="360" w:lineRule="auto"/>
              <w:jc w:val="center"/>
              <w:rPr>
                <w:b/>
              </w:rPr>
            </w:pPr>
            <w:r>
              <w:rPr>
                <w:b/>
              </w:rPr>
              <w:t>Name of Client</w:t>
            </w:r>
          </w:p>
        </w:tc>
        <w:tc>
          <w:tcPr>
            <w:tcW w:w="2355" w:type="dxa"/>
            <w:tcBorders>
              <w:top w:val="single" w:sz="4" w:space="0" w:color="C0C0C0"/>
              <w:left w:val="single" w:sz="4" w:space="0" w:color="C0C0C0"/>
              <w:bottom w:val="single" w:sz="4" w:space="0" w:color="C0C0C0"/>
              <w:right w:val="single" w:sz="4" w:space="0" w:color="C0C0C0"/>
            </w:tcBorders>
            <w:shd w:val="clear" w:color="auto" w:fill="CCFFCC"/>
          </w:tcPr>
          <w:p w:rsidR="00E26DF6" w:rsidRDefault="00E26DF6" w:rsidP="00E26DF6">
            <w:pPr>
              <w:keepNext/>
              <w:snapToGrid w:val="0"/>
              <w:spacing w:line="360" w:lineRule="auto"/>
              <w:jc w:val="center"/>
            </w:pPr>
            <w:r>
              <w:rPr>
                <w:b/>
              </w:rPr>
              <w:t xml:space="preserve">New Client (Y/N)</w:t>
            </w:r>
          </w:p>
        </w:tc>
      </w:tr>
      <w:tr w:rsidR="00083C2C" w:rsidTr="00B9523C">
        <w:tblPrEx>
          <w:tblCellMar>
            <w:top w:w="57" w:type="dxa"/>
            <w:left w:w="57" w:type="dxa"/>
            <w:bottom w:w="57" w:type="dxa"/>
            <w:right w:w="57" w:type="dxa"/>
          </w:tblCellMar>
        </w:tblPrEx>
        <w:trPr>
          <w:trHeight w:val="36"/>
        </w:trPr>
        <w:tc>
          <w:tcPr>
            <w:tcW w:w="555" w:type="dxa"/>
            <w:tcBorders>
              <w:top w:val="single" w:sz="4" w:space="0" w:color="C0C0C0"/>
              <w:left w:val="single" w:sz="4" w:space="0" w:color="C0C0C0"/>
              <w:bottom w:val="single" w:sz="4" w:space="0" w:color="C0C0C0"/>
            </w:tcBorders>
            <w:shd w:val="clear" w:color="auto" w:fill="auto"/>
          </w:tcPr>
          <w:p w:rsidR="00083C2C" w:rsidRPr="00083C2C" w:rsidRDefault="00083C2C" w:rsidP="00083C2C">
            <w:pPr>
              <w:keepNext/>
              <w:snapToGrid w:val="0"/>
              <w:spacing w:line="360" w:lineRule="auto"/>
              <w:jc w:val="center"/>
              <w:rPr>
                <w:b/>
                <w:bCs/>
              </w:rPr>
            </w:pPr>
            <w:r>
              <w:rPr>
                <w:b/>
                <w:bCs/>
              </w:rPr>
              <w:t xml:space="preserve"/>
            </w:r>
            <w:r>
              <w:rPr>
                <w:b/>
                <w:bCs/>
              </w:rPr>
              <w:t xml:space="preserve"/>
            </w:r>
            <w:r>
              <w:rPr>
                <w:b/>
                <w:bCs/>
              </w:rPr>
              <w:t xml:space="preserve"> </w:t>
            </w:r>
          </w:p>
        </w:tc>
        <w:tc>
          <w:tcPr>
            <w:tcW w:w="6750" w:type="dxa"/>
            <w:tcBorders>
              <w:top w:val="single" w:sz="4" w:space="0" w:color="C0C0C0"/>
              <w:left w:val="single" w:sz="4" w:space="0" w:color="C0C0C0"/>
              <w:bottom w:val="single" w:sz="4" w:space="0" w:color="C0C0C0"/>
            </w:tcBorders>
            <w:shd w:val="clear" w:color="auto" w:fill="CCFFCC"/>
          </w:tcPr>
          <w:p w:rsidR="00083C2C" w:rsidRDefault="00083C2C" w:rsidP="00083C2C">
            <w:pPr>
              <w:keepNext/>
              <w:snapToGrid w:val="0"/>
              <w:spacing w:line="360" w:lineRule="auto"/>
            </w:pPr>
            <w:r w:rsidRPr="005B6C3B">
              <w:t xml:space="preserve">Sucro Can Sourcing</w:t>
            </w:r>
          </w:p>
        </w:tc>
        <w:tc>
          <w:tcPr>
            <w:tcW w:w="2355" w:type="dxa"/>
            <w:tcBorders>
              <w:top w:val="single" w:sz="4" w:space="0" w:color="C0C0C0"/>
              <w:left w:val="single" w:sz="4" w:space="0" w:color="C0C0C0"/>
              <w:bottom w:val="single" w:sz="4" w:space="0" w:color="C0C0C0"/>
              <w:right w:val="single" w:sz="4" w:space="0" w:color="C0C0C0"/>
            </w:tcBorders>
            <w:shd w:val="clear" w:color="auto" w:fill="CCFFCC"/>
          </w:tcPr>
          <w:p w:rsidR="00083C2C" w:rsidRDefault="00083C2C" w:rsidP="00083C2C">
            <w:pPr>
              <w:keepNext/>
              <w:snapToGrid w:val="0"/>
              <w:spacing w:line="360" w:lineRule="auto"/>
              <w:jc w:val="center"/>
            </w:pPr>
            <w:r w:rsidRPr="005B6C3B">
              <w:t xml:space="preserve">No </w:t>
            </w:r>
          </w:p>
        </w:tc>
      </w:tr>
      <w:tr w:rsidR="00083C2C" w:rsidTr="00B9523C">
        <w:tblPrEx>
          <w:tblCellMar>
            <w:top w:w="57" w:type="dxa"/>
            <w:left w:w="57" w:type="dxa"/>
            <w:bottom w:w="57" w:type="dxa"/>
            <w:right w:w="57" w:type="dxa"/>
          </w:tblCellMar>
        </w:tblPrEx>
        <w:trPr>
          <w:trHeight w:val="36"/>
        </w:trPr>
        <w:tc>
          <w:tcPr>
            <w:tcW w:w="555" w:type="dxa"/>
            <w:tcBorders>
              <w:top w:val="single" w:sz="4" w:space="0" w:color="C0C0C0"/>
              <w:left w:val="single" w:sz="4" w:space="0" w:color="C0C0C0"/>
              <w:bottom w:val="single" w:sz="4" w:space="0" w:color="C0C0C0"/>
            </w:tcBorders>
            <w:shd w:val="clear" w:color="auto" w:fill="auto"/>
          </w:tcPr>
          <w:p w:rsidR="00083C2C" w:rsidRDefault="00083C2C" w:rsidP="00083C2C">
            <w:pPr>
              <w:keepNext/>
              <w:snapToGrid w:val="0"/>
              <w:spacing w:line="360" w:lineRule="auto"/>
              <w:jc w:val="center"/>
              <w:rPr>
                <w:b/>
                <w:bCs/>
              </w:rPr>
            </w:pPr>
            <w:r>
              <w:t xml:space="preserve"/>
            </w:r>
            <w:r>
              <w:rPr>
                <w:b/>
                <w:bCs/>
              </w:rPr>
              <w:t xml:space="preserve"/>
            </w:r>
            <w:r>
              <w:rPr>
                <w:b/>
                <w:bCs/>
              </w:rPr>
              <w:t xml:space="preserve"> </w:t>
            </w:r>
          </w:p>
        </w:tc>
        <w:tc>
          <w:tcPr>
            <w:tcW w:w="6750" w:type="dxa"/>
            <w:tcBorders>
              <w:top w:val="single" w:sz="4" w:space="0" w:color="C0C0C0"/>
              <w:left w:val="single" w:sz="4" w:space="0" w:color="C0C0C0"/>
              <w:bottom w:val="single" w:sz="4" w:space="0" w:color="C0C0C0"/>
            </w:tcBorders>
            <w:shd w:val="clear" w:color="auto" w:fill="CCFFCC"/>
          </w:tcPr>
          <w:p w:rsidR="00083C2C" w:rsidRDefault="00083C2C" w:rsidP="00083C2C">
            <w:pPr>
              <w:keepNext/>
              <w:snapToGrid w:val="0"/>
              <w:spacing w:line="360" w:lineRule="auto"/>
            </w:pPr>
            <w:r w:rsidRPr="005B6C3B">
              <w:t xml:space="preserve">
                <w:r>
                  <w:rPr>
                    <w:b/>
                  </w:rPr>
                  <w:t xml:space="preserve">United States International Development Finance Corporation</w:t>
                </w:r>
              </w:t>
            </w:r>
          </w:p>
        </w:tc>
        <w:tc>
          <w:tcPr>
            <w:tcW w:w="2355" w:type="dxa"/>
            <w:tcBorders>
              <w:top w:val="single" w:sz="4" w:space="0" w:color="C0C0C0"/>
              <w:left w:val="single" w:sz="4" w:space="0" w:color="C0C0C0"/>
              <w:bottom w:val="single" w:sz="4" w:space="0" w:color="C0C0C0"/>
              <w:right w:val="single" w:sz="4" w:space="0" w:color="C0C0C0"/>
            </w:tcBorders>
            <w:shd w:val="clear" w:color="auto" w:fill="CCFFCC"/>
          </w:tcPr>
          <w:p w:rsidR="00083C2C" w:rsidRDefault="00083C2C" w:rsidP="00083C2C">
            <w:pPr>
              <w:keepNext/>
              <w:snapToGrid w:val="0"/>
              <w:spacing w:line="360" w:lineRule="auto"/>
              <w:jc w:val="center"/>
            </w:pPr>
            <w:r w:rsidRPr="005B6C3B">
              <w:t xml:space="preserve">No </w:t>
            </w:r>
          </w:p>
        </w:tc>
      </w:tr>
      <w:tr w:rsidR="00083C2C" w:rsidTr="00B9523C">
        <w:tblPrEx>
          <w:tblCellMar>
            <w:top w:w="57" w:type="dxa"/>
            <w:left w:w="57" w:type="dxa"/>
            <w:bottom w:w="57" w:type="dxa"/>
            <w:right w:w="57" w:type="dxa"/>
          </w:tblCellMar>
        </w:tblPrEx>
        <w:trPr>
          <w:trHeight w:val="36"/>
        </w:trPr>
        <w:tc>
          <w:tcPr>
            <w:tcW w:w="555" w:type="dxa"/>
            <w:tcBorders>
              <w:top w:val="single" w:sz="4" w:space="0" w:color="C0C0C0"/>
              <w:left w:val="single" w:sz="4" w:space="0" w:color="C0C0C0"/>
              <w:bottom w:val="single" w:sz="4" w:space="0" w:color="C0C0C0"/>
            </w:tcBorders>
            <w:shd w:val="clear" w:color="auto" w:fill="auto"/>
          </w:tcPr>
          <w:p w:rsidR="00083C2C" w:rsidRDefault="00083C2C" w:rsidP="00083C2C">
            <w:pPr>
              <w:keepNext/>
              <w:snapToGrid w:val="0"/>
              <w:spacing w:line="360" w:lineRule="auto"/>
              <w:jc w:val="center"/>
              <w:rPr>
                <w:b/>
                <w:bCs/>
              </w:rPr>
            </w:pPr>
            <w:r>
              <w:t xml:space="preserve"/>
            </w:r>
            <w:r>
              <w:rPr>
                <w:b/>
                <w:bCs/>
              </w:rPr>
              <w:t xml:space="preserve"/>
            </w:r>
            <w:r>
              <w:rPr>
                <w:b/>
                <w:bCs/>
              </w:rPr>
              <w:t xml:space="preserve"> </w:t>
            </w:r>
          </w:p>
        </w:tc>
        <w:tc>
          <w:tcPr>
            <w:tcW w:w="6750" w:type="dxa"/>
            <w:tcBorders>
              <w:top w:val="single" w:sz="4" w:space="0" w:color="C0C0C0"/>
              <w:left w:val="single" w:sz="4" w:space="0" w:color="C0C0C0"/>
              <w:bottom w:val="single" w:sz="4" w:space="0" w:color="C0C0C0"/>
            </w:tcBorders>
            <w:shd w:val="clear" w:color="auto" w:fill="CCFFCC"/>
          </w:tcPr>
          <w:p w:rsidR="00083C2C" w:rsidRDefault="00083C2C" w:rsidP="00083C2C">
            <w:pPr>
              <w:keepNext/>
              <w:snapToGrid w:val="0"/>
              <w:spacing w:line="360" w:lineRule="auto"/>
            </w:pPr>
            <w:r w:rsidRPr="005B6C3B">
              <w:t xml:space="preserve">Grupo Finansiell, S.A.P.I. de C.V. (Doopla)</w:t>
            </w:r>
          </w:p>
        </w:tc>
        <w:tc>
          <w:tcPr>
            <w:tcW w:w="2355" w:type="dxa"/>
            <w:tcBorders>
              <w:top w:val="single" w:sz="4" w:space="0" w:color="C0C0C0"/>
              <w:left w:val="single" w:sz="4" w:space="0" w:color="C0C0C0"/>
              <w:bottom w:val="single" w:sz="4" w:space="0" w:color="C0C0C0"/>
              <w:right w:val="single" w:sz="4" w:space="0" w:color="C0C0C0"/>
            </w:tcBorders>
            <w:shd w:val="clear" w:color="auto" w:fill="CCFFCC"/>
          </w:tcPr>
          <w:p w:rsidR="00083C2C" w:rsidRDefault="00083C2C" w:rsidP="00083C2C">
            <w:pPr>
              <w:keepNext/>
              <w:snapToGrid w:val="0"/>
              <w:spacing w:line="360" w:lineRule="auto"/>
              <w:jc w:val="center"/>
            </w:pPr>
            <w:r w:rsidRPr="005B6C3B">
              <w:t xml:space="preserve">No </w:t>
            </w:r>
          </w:p>
        </w:tc>
      </w:tr>
      <w:tr w:rsidR="00083C2C" w:rsidTr="00B9523C">
        <w:tblPrEx>
          <w:tblCellMar>
            <w:top w:w="57" w:type="dxa"/>
            <w:left w:w="57" w:type="dxa"/>
            <w:bottom w:w="57" w:type="dxa"/>
            <w:right w:w="57" w:type="dxa"/>
          </w:tblCellMar>
        </w:tblPrEx>
        <w:trPr>
          <w:trHeight w:val="36"/>
        </w:trPr>
        <w:tc>
          <w:tcPr>
            <w:tcW w:w="555" w:type="dxa"/>
            <w:tcBorders>
              <w:top w:val="single" w:sz="4" w:space="0" w:color="C0C0C0"/>
              <w:left w:val="single" w:sz="4" w:space="0" w:color="C0C0C0"/>
              <w:bottom w:val="single" w:sz="4" w:space="0" w:color="C0C0C0"/>
            </w:tcBorders>
            <w:shd w:val="clear" w:color="auto" w:fill="auto"/>
          </w:tcPr>
          <w:p w:rsidR="00083C2C" w:rsidRDefault="00083C2C" w:rsidP="00083C2C">
            <w:pPr>
              <w:keepNext/>
              <w:snapToGrid w:val="0"/>
              <w:spacing w:line="360" w:lineRule="auto"/>
              <w:jc w:val="center"/>
              <w:rPr>
                <w:b/>
                <w:bCs/>
              </w:rPr>
            </w:pPr>
            <w:r>
              <w:t xml:space="preserve"/>
            </w:r>
            <w:r>
              <w:rPr>
                <w:b/>
                <w:bCs/>
              </w:rPr>
              <w:t xml:space="preserve"/>
            </w:r>
            <w:r>
              <w:rPr>
                <w:b/>
                <w:bCs/>
              </w:rPr>
              <w:t xml:space="preserve"> </w:t>
            </w:r>
          </w:p>
        </w:tc>
        <w:tc>
          <w:tcPr>
            <w:tcW w:w="6750" w:type="dxa"/>
            <w:tcBorders>
              <w:top w:val="single" w:sz="4" w:space="0" w:color="C0C0C0"/>
              <w:left w:val="single" w:sz="4" w:space="0" w:color="C0C0C0"/>
              <w:bottom w:val="single" w:sz="4" w:space="0" w:color="C0C0C0"/>
            </w:tcBorders>
            <w:shd w:val="clear" w:color="auto" w:fill="CCFFCC"/>
          </w:tcPr>
          <w:p w:rsidR="00083C2C" w:rsidRDefault="00083C2C" w:rsidP="00083C2C">
            <w:pPr>
              <w:keepNext/>
              <w:snapToGrid w:val="0"/>
              <w:spacing w:line="360" w:lineRule="auto"/>
            </w:pPr>
            <w:r w:rsidRPr="005B6C3B">
              <w:t xml:space="preserve">Sumitomo Mitsui Banking Corporation</w:t>
            </w:r>
          </w:p>
        </w:tc>
        <w:tc>
          <w:tcPr>
            <w:tcW w:w="2355" w:type="dxa"/>
            <w:tcBorders>
              <w:top w:val="single" w:sz="4" w:space="0" w:color="C0C0C0"/>
              <w:left w:val="single" w:sz="4" w:space="0" w:color="C0C0C0"/>
              <w:bottom w:val="single" w:sz="4" w:space="0" w:color="C0C0C0"/>
              <w:right w:val="single" w:sz="4" w:space="0" w:color="C0C0C0"/>
            </w:tcBorders>
            <w:shd w:val="clear" w:color="auto" w:fill="CCFFCC"/>
          </w:tcPr>
          <w:p w:rsidR="00083C2C" w:rsidRDefault="00083C2C" w:rsidP="00083C2C">
            <w:pPr>
              <w:keepNext/>
              <w:snapToGrid w:val="0"/>
              <w:spacing w:line="360" w:lineRule="auto"/>
              <w:jc w:val="center"/>
            </w:pPr>
            <w:r w:rsidRPr="005B6C3B">
              <w:t xml:space="preserve">No </w:t>
            </w:r>
          </w:p>
        </w:tc>
      </w:tr>
      <w:tr w:rsidR="00083C2C" w:rsidTr="00B9523C">
        <w:tblPrEx>
          <w:tblCellMar>
            <w:top w:w="57" w:type="dxa"/>
            <w:left w:w="57" w:type="dxa"/>
            <w:bottom w:w="57" w:type="dxa"/>
            <w:right w:w="57" w:type="dxa"/>
          </w:tblCellMar>
        </w:tblPrEx>
        <w:trPr>
          <w:trHeight w:val="36"/>
        </w:trPr>
        <w:tc>
          <w:tcPr>
            <w:tcW w:w="555" w:type="dxa"/>
            <w:tcBorders>
              <w:top w:val="single" w:sz="4" w:space="0" w:color="C0C0C0"/>
              <w:left w:val="single" w:sz="4" w:space="0" w:color="C0C0C0"/>
              <w:bottom w:val="single" w:sz="4" w:space="0" w:color="C0C0C0"/>
            </w:tcBorders>
            <w:shd w:val="clear" w:color="auto" w:fill="auto"/>
          </w:tcPr>
          <w:p w:rsidR="00083C2C" w:rsidRDefault="00083C2C" w:rsidP="00083C2C">
            <w:pPr>
              <w:keepNext/>
              <w:snapToGrid w:val="0"/>
              <w:spacing w:line="360" w:lineRule="auto"/>
              <w:jc w:val="center"/>
              <w:rPr>
                <w:b/>
                <w:bCs/>
              </w:rPr>
            </w:pPr>
            <w:r>
              <w:t xml:space="preserve"/>
            </w:r>
            <w:r>
              <w:rPr>
                <w:b/>
                <w:bCs/>
              </w:rPr>
              <w:t xml:space="preserve"/>
            </w:r>
            <w:r>
              <w:rPr>
                <w:b/>
                <w:bCs/>
              </w:rPr>
              <w:t xml:space="preserve"> </w:t>
            </w:r>
          </w:p>
        </w:tc>
        <w:tc>
          <w:tcPr>
            <w:tcW w:w="6750" w:type="dxa"/>
            <w:tcBorders>
              <w:top w:val="single" w:sz="4" w:space="0" w:color="C0C0C0"/>
              <w:left w:val="single" w:sz="4" w:space="0" w:color="C0C0C0"/>
              <w:bottom w:val="single" w:sz="4" w:space="0" w:color="C0C0C0"/>
            </w:tcBorders>
            <w:shd w:val="clear" w:color="auto" w:fill="CCFFCC"/>
          </w:tcPr>
          <w:p w:rsidR="00083C2C" w:rsidRDefault="00083C2C" w:rsidP="00083C2C">
            <w:pPr>
              <w:keepNext/>
              <w:snapToGrid w:val="0"/>
              <w:spacing w:line="360" w:lineRule="auto"/>
            </w:pPr>
            <w:r w:rsidRPr="005B6C3B">
              <w:t xml:space="preserve">BMO Harris Bank</w:t>
            </w:r>
          </w:p>
        </w:tc>
        <w:tc>
          <w:tcPr>
            <w:tcW w:w="2355" w:type="dxa"/>
            <w:tcBorders>
              <w:top w:val="single" w:sz="4" w:space="0" w:color="C0C0C0"/>
              <w:left w:val="single" w:sz="4" w:space="0" w:color="C0C0C0"/>
              <w:bottom w:val="single" w:sz="4" w:space="0" w:color="C0C0C0"/>
              <w:right w:val="single" w:sz="4" w:space="0" w:color="C0C0C0"/>
            </w:tcBorders>
            <w:shd w:val="clear" w:color="auto" w:fill="CCFFCC"/>
          </w:tcPr>
          <w:p w:rsidR="00083C2C" w:rsidRDefault="00083C2C" w:rsidP="00083C2C">
            <w:pPr>
              <w:keepNext/>
              <w:snapToGrid w:val="0"/>
              <w:spacing w:line="360" w:lineRule="auto"/>
              <w:jc w:val="center"/>
            </w:pPr>
            <w:r w:rsidRPr="005B6C3B">
              <w:t xml:space="preserve">No </w:t>
            </w:r>
          </w:p>
        </w:tc>
      </w:tr>
      <w:tr w:rsidR="00083C2C" w:rsidTr="00B9523C">
        <w:tblPrEx>
          <w:tblCellMar>
            <w:top w:w="57" w:type="dxa"/>
            <w:left w:w="57" w:type="dxa"/>
            <w:bottom w:w="57" w:type="dxa"/>
            <w:right w:w="57" w:type="dxa"/>
          </w:tblCellMar>
        </w:tblPrEx>
        <w:trPr>
          <w:trHeight w:val="36"/>
        </w:trPr>
        <w:tc>
          <w:tcPr>
            <w:tcW w:w="555" w:type="dxa"/>
            <w:tcBorders>
              <w:top w:val="single" w:sz="4" w:space="0" w:color="C0C0C0"/>
              <w:left w:val="single" w:sz="4" w:space="0" w:color="C0C0C0"/>
              <w:bottom w:val="single" w:sz="4" w:space="0" w:color="C0C0C0"/>
            </w:tcBorders>
            <w:shd w:val="clear" w:color="auto" w:fill="auto"/>
          </w:tcPr>
          <w:p w:rsidR="00083C2C" w:rsidRDefault="00083C2C" w:rsidP="00083C2C">
            <w:pPr>
              <w:keepNext/>
              <w:snapToGrid w:val="0"/>
              <w:spacing w:line="360" w:lineRule="auto"/>
              <w:jc w:val="center"/>
              <w:rPr>
                <w:b/>
                <w:bCs/>
              </w:rPr>
            </w:pPr>
            <w:r>
              <w:t xml:space="preserve"/>
            </w:r>
            <w:r>
              <w:rPr>
                <w:b/>
                <w:bCs/>
              </w:rPr>
              <w:t xml:space="preserve"/>
            </w:r>
            <w:r>
              <w:rPr>
                <w:b/>
                <w:bCs/>
              </w:rPr>
              <w:t xml:space="preserve"> </w:t>
            </w:r>
          </w:p>
        </w:tc>
        <w:tc>
          <w:tcPr>
            <w:tcW w:w="6750" w:type="dxa"/>
            <w:tcBorders>
              <w:top w:val="single" w:sz="4" w:space="0" w:color="C0C0C0"/>
              <w:left w:val="single" w:sz="4" w:space="0" w:color="C0C0C0"/>
              <w:bottom w:val="single" w:sz="4" w:space="0" w:color="C0C0C0"/>
            </w:tcBorders>
            <w:shd w:val="clear" w:color="auto" w:fill="CCFFCC"/>
          </w:tcPr>
          <w:p w:rsidR="00083C2C" w:rsidRDefault="00083C2C" w:rsidP="00083C2C">
            <w:pPr>
              <w:keepNext/>
              <w:snapToGrid w:val="0"/>
              <w:spacing w:line="360" w:lineRule="auto"/>
            </w:pPr>
            <w:r w:rsidRPr="005B6C3B">
              <w:t xml:space="preserve">Calvert Impact Inc</w:t>
            </w:r>
          </w:p>
        </w:tc>
        <w:tc>
          <w:tcPr>
            <w:tcW w:w="2355" w:type="dxa"/>
            <w:tcBorders>
              <w:top w:val="single" w:sz="4" w:space="0" w:color="C0C0C0"/>
              <w:left w:val="single" w:sz="4" w:space="0" w:color="C0C0C0"/>
              <w:bottom w:val="single" w:sz="4" w:space="0" w:color="C0C0C0"/>
              <w:right w:val="single" w:sz="4" w:space="0" w:color="C0C0C0"/>
            </w:tcBorders>
            <w:shd w:val="clear" w:color="auto" w:fill="CCFFCC"/>
          </w:tcPr>
          <w:p w:rsidR="00083C2C" w:rsidRDefault="00083C2C" w:rsidP="00083C2C">
            <w:pPr>
              <w:keepNext/>
              <w:snapToGrid w:val="0"/>
              <w:spacing w:line="360" w:lineRule="auto"/>
              <w:jc w:val="center"/>
            </w:pPr>
            <w:r w:rsidRPr="005B6C3B">
              <w:t xml:space="preserve">No </w:t>
            </w:r>
          </w:p>
        </w:tc>
      </w:tr>
      <w:tr w:rsidR="00083C2C" w:rsidTr="00B9523C">
        <w:tblPrEx>
          <w:tblCellMar>
            <w:top w:w="57" w:type="dxa"/>
            <w:left w:w="57" w:type="dxa"/>
            <w:bottom w:w="57" w:type="dxa"/>
            <w:right w:w="57" w:type="dxa"/>
          </w:tblCellMar>
        </w:tblPrEx>
        <w:trPr>
          <w:trHeight w:val="36"/>
        </w:trPr>
        <w:tc>
          <w:tcPr>
            <w:tcW w:w="555" w:type="dxa"/>
            <w:tcBorders>
              <w:top w:val="single" w:sz="4" w:space="0" w:color="C0C0C0"/>
              <w:left w:val="single" w:sz="4" w:space="0" w:color="C0C0C0"/>
              <w:bottom w:val="single" w:sz="4" w:space="0" w:color="C0C0C0"/>
            </w:tcBorders>
            <w:shd w:val="clear" w:color="auto" w:fill="auto"/>
          </w:tcPr>
          <w:p w:rsidR="00083C2C" w:rsidRDefault="00083C2C" w:rsidP="00083C2C">
            <w:pPr>
              <w:keepNext/>
              <w:snapToGrid w:val="0"/>
              <w:spacing w:line="360" w:lineRule="auto"/>
              <w:jc w:val="center"/>
              <w:rPr>
                <w:b/>
                <w:bCs/>
              </w:rPr>
            </w:pPr>
            <w:r>
              <w:t xml:space="preserve"/>
            </w:r>
            <w:r>
              <w:rPr>
                <w:b/>
                <w:bCs/>
              </w:rPr>
              <w:t xml:space="preserve"/>
            </w:r>
            <w:r>
              <w:rPr>
                <w:b/>
                <w:bCs/>
              </w:rPr>
              <w:t xml:space="preserve"> </w:t>
            </w:r>
          </w:p>
        </w:tc>
        <w:tc>
          <w:tcPr>
            <w:tcW w:w="6750" w:type="dxa"/>
            <w:tcBorders>
              <w:top w:val="single" w:sz="4" w:space="0" w:color="C0C0C0"/>
              <w:left w:val="single" w:sz="4" w:space="0" w:color="C0C0C0"/>
              <w:bottom w:val="single" w:sz="4" w:space="0" w:color="C0C0C0"/>
            </w:tcBorders>
            <w:shd w:val="clear" w:color="auto" w:fill="CCFFCC"/>
          </w:tcPr>
          <w:p w:rsidR="00083C2C" w:rsidRDefault="00083C2C" w:rsidP="00083C2C">
            <w:pPr>
              <w:keepNext/>
              <w:snapToGrid w:val="0"/>
              <w:spacing w:line="360" w:lineRule="auto"/>
            </w:pPr>
            <w:r w:rsidRPr="005B6C3B">
              <w:t xml:space="preserve">Manscaped Inc.</w:t>
            </w:r>
          </w:p>
        </w:tc>
        <w:tc>
          <w:tcPr>
            <w:tcW w:w="2355" w:type="dxa"/>
            <w:tcBorders>
              <w:top w:val="single" w:sz="4" w:space="0" w:color="C0C0C0"/>
              <w:left w:val="single" w:sz="4" w:space="0" w:color="C0C0C0"/>
              <w:bottom w:val="single" w:sz="4" w:space="0" w:color="C0C0C0"/>
              <w:right w:val="single" w:sz="4" w:space="0" w:color="C0C0C0"/>
            </w:tcBorders>
            <w:shd w:val="clear" w:color="auto" w:fill="CCFFCC"/>
          </w:tcPr>
          <w:p w:rsidR="00083C2C" w:rsidRDefault="00083C2C" w:rsidP="00083C2C">
            <w:pPr>
              <w:keepNext/>
              <w:snapToGrid w:val="0"/>
              <w:spacing w:line="360" w:lineRule="auto"/>
              <w:jc w:val="center"/>
            </w:pPr>
            <w:r w:rsidRPr="005B6C3B">
              <w:t xml:space="preserve">No </w:t>
            </w:r>
          </w:p>
        </w:tc>
      </w:tr>
      <w:tr w:rsidR="00083C2C" w:rsidTr="00B9523C">
        <w:tblPrEx>
          <w:tblCellMar>
            <w:top w:w="57" w:type="dxa"/>
            <w:left w:w="57" w:type="dxa"/>
            <w:bottom w:w="57" w:type="dxa"/>
            <w:right w:w="57" w:type="dxa"/>
          </w:tblCellMar>
        </w:tblPrEx>
        <w:trPr>
          <w:trHeight w:val="36"/>
        </w:trPr>
        <w:tc>
          <w:tcPr>
            <w:tcW w:w="555" w:type="dxa"/>
            <w:tcBorders>
              <w:top w:val="single" w:sz="4" w:space="0" w:color="C0C0C0"/>
              <w:left w:val="single" w:sz="4" w:space="0" w:color="C0C0C0"/>
              <w:bottom w:val="single" w:sz="4" w:space="0" w:color="C0C0C0"/>
            </w:tcBorders>
            <w:shd w:val="clear" w:color="auto" w:fill="auto"/>
          </w:tcPr>
          <w:p w:rsidR="00083C2C" w:rsidRDefault="00083C2C" w:rsidP="00083C2C">
            <w:pPr>
              <w:keepNext/>
              <w:snapToGrid w:val="0"/>
              <w:spacing w:line="360" w:lineRule="auto"/>
              <w:jc w:val="center"/>
              <w:rPr>
                <w:b/>
                <w:bCs/>
              </w:rPr>
            </w:pPr>
            <w:r>
              <w:t xml:space="preserve"/>
            </w:r>
          </w:p>
        </w:tc>
        <w:tc>
          <w:tcPr>
            <w:tcW w:w="6750" w:type="dxa"/>
            <w:tcBorders>
              <w:top w:val="single" w:sz="4" w:space="0" w:color="C0C0C0"/>
              <w:left w:val="single" w:sz="4" w:space="0" w:color="C0C0C0"/>
              <w:bottom w:val="single" w:sz="4" w:space="0" w:color="C0C0C0"/>
            </w:tcBorders>
            <w:shd w:val="clear" w:color="auto" w:fill="CCFFCC"/>
          </w:tcPr>
          <w:p w:rsidR="00083C2C" w:rsidRPr="005B6C3B" w:rsidRDefault="00083C2C" w:rsidP="00083C2C">
            <w:pPr>
              <w:keepNext/>
              <w:snapToGrid w:val="0"/>
              <w:spacing w:line="360" w:lineRule="auto"/>
            </w:pPr>
          </w:p>
        </w:tc>
        <w:tc>
          <w:tcPr>
            <w:tcW w:w="2355" w:type="dxa"/>
            <w:tcBorders>
              <w:top w:val="single" w:sz="4" w:space="0" w:color="C0C0C0"/>
              <w:left w:val="single" w:sz="4" w:space="0" w:color="C0C0C0"/>
              <w:bottom w:val="single" w:sz="4" w:space="0" w:color="C0C0C0"/>
              <w:right w:val="single" w:sz="4" w:space="0" w:color="C0C0C0"/>
            </w:tcBorders>
            <w:shd w:val="clear" w:color="auto" w:fill="CCFFCC"/>
          </w:tcPr>
          <w:p w:rsidR="00083C2C" w:rsidRPr="005B6C3B" w:rsidRDefault="00083C2C" w:rsidP="00083C2C">
            <w:pPr>
              <w:keepNext/>
              <w:snapToGrid w:val="0"/>
              <w:spacing w:line="360" w:lineRule="auto"/>
              <w:jc w:val="center"/>
            </w:pPr>
          </w:p>
        </w:tc>
      </w:tr>
    </w:tbl>
    <w:p w:rsidR="00AB2803" w:rsidRDefault="00AB2803" w:rsidP="00AB2803">
      <w:pPr>
        <w:pStyle w:val="InterTableSpacer"/>
      </w:pPr>
    </w:p>
    <w:p w:rsidR="00FE41F1" w:rsidRDefault="00FE41F1">
      <w:pPr>
        <w:widowControl/>
        <w:suppressAutoHyphens w:val="0"/>
        <w:rPr>
          <w:rFonts w:ascii="Calibri" w:eastAsia="Times New Roman" w:hAnsi="Calibri" w:cs="Calibri"/>
          <w:b/>
          <w:bCs/>
          <w:kern w:val="0"/>
          <w:sz w:val="26"/>
          <w:szCs w:val="26"/>
          <w:lang w:bidi="ar-SA"/>
        </w:rPr>
      </w:pPr>
      <w:r>
        <w:rPr>
          <w:b/>
          <w:bCs/>
          <w:sz w:val="26"/>
          <w:szCs w:val="26"/>
        </w:rPr>
        <w:br w:type="page"/>
      </w:r>
    </w:p>
    <w:tbl>
      <w:tblPr>
        <w:tblpPr w:leftFromText="180" w:rightFromText="180" w:vertAnchor="text" w:horzAnchor="margin" w:tblpY="-65"/>
        <w:tblOverlap w:val="never"/>
        <w:tblW w:w="9636" w:type="dxa"/>
        <w:tblLayout w:type="fixed"/>
        <w:tblCellMar>
          <w:left w:w="0" w:type="dxa"/>
          <w:right w:w="0" w:type="dxa"/>
        </w:tblCellMar>
        <w:tblLook w:val="0000" w:firstRow="0" w:lastRow="0" w:firstColumn="0" w:lastColumn="0" w:noHBand="0" w:noVBand="0"/>
      </w:tblPr>
      <w:tblGrid>
        <w:gridCol w:w="9596"/>
        <w:gridCol w:w="40"/>
      </w:tblGrid>
      <w:tr w:rsidR="00FE41F1" w:rsidTr="00FE41F1">
        <w:trPr>
          <w:trHeight w:val="345"/>
        </w:trPr>
        <w:tc>
          <w:tcPr>
            <w:tcW w:w="9596" w:type="dxa"/>
            <w:shd w:val="clear" w:color="auto" w:fill="FFFFFF"/>
          </w:tcPr>
          <w:p w:rsidR="00FE41F1" w:rsidRPr="000345C4" w:rsidRDefault="00FE41F1" w:rsidP="00FE41F1">
            <w:pPr>
              <w:shd w:val="clear" w:color="auto" w:fill="FFFFFF"/>
              <w:snapToGrid w:val="0"/>
              <w:spacing w:line="360" w:lineRule="auto"/>
              <w:rPr>
                <w:b/>
                <w:bCs/>
                <w:sz w:val="26"/>
                <w:szCs w:val="26"/>
              </w:rPr>
            </w:pPr>
            <w:r>
              <w:rPr>
                <w:b/>
                <w:bCs/>
                <w:sz w:val="26"/>
                <w:szCs w:val="26"/>
              </w:rPr>
              <w:lastRenderedPageBreak/>
              <w:t xml:space="preserve">Publishable Work Highlights in last 12 months </w:t>
            </w:r>
          </w:p>
        </w:tc>
        <w:tc>
          <w:tcPr>
            <w:tcW w:w="40" w:type="dxa"/>
            <w:shd w:val="clear" w:color="auto" w:fill="auto"/>
          </w:tcPr>
          <w:p w:rsidR="00FE41F1" w:rsidRDefault="00FE41F1" w:rsidP="00FE41F1">
            <w:pPr>
              <w:snapToGrid w:val="0"/>
            </w:pP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snapToGrid w:val="0"/>
              <w:spacing w:line="360" w:lineRule="auto"/>
              <w:jc w:val="center"/>
            </w:pPr>
            <w:r>
              <w:rPr>
                <w:b/>
                <w:bCs/>
                <w:sz w:val="28"/>
                <w:szCs w:val="28"/>
              </w:rPr>
              <w:t xml:space="preserve">Publishable Matter </w:t>
            </w:r>
            <w:r w:rsidRPr="000345C4">
              <w:rPr>
                <w:b/>
                <w:bCs/>
                <w:sz w:val="28"/>
                <w:szCs w:val="28"/>
              </w:rPr>
              <w:t xml:space="preserve">1</w:t>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1B4B35">
              <w:rPr>
                <w:sz w:val="14"/>
                <w:szCs w:val="14"/>
              </w:rPr>
              <w:t>D1</w:t>
            </w:r>
            <w:r>
              <w:rPr>
                <w:sz w:val="22"/>
                <w:szCs w:val="22"/>
              </w:rPr>
              <w:t xml:space="preserve"> Name of client </w:t>
            </w:r>
            <w:r>
              <w:rPr>
                <w:i/>
                <w:iCs/>
                <w:sz w:val="22"/>
                <w:szCs w:val="22"/>
              </w:rPr>
              <w:t xml:space="preserve">– </w:t>
            </w:r>
            <w:r>
              <w:rPr>
                <w:sz w:val="22"/>
                <w:szCs w:val="22"/>
              </w:rPr>
              <w:t>this will be publishable. If you cannot reveal the client name, give a general description.</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shd w:val="clear" w:color="auto" w:fill="CCFFCC"/>
              <w:snapToGrid w:val="0"/>
              <w:rPr>
                <w:sz w:val="22"/>
                <w:szCs w:val="22"/>
              </w:rPr>
            </w:pPr>
            <w:r w:rsidRPr="000345C4">
              <w:rPr>
                <w:sz w:val="22"/>
                <w:szCs w:val="22"/>
              </w:rPr>
              <w:t xml:space="preserve">
                <w:r>
                  <w:rPr>
                    <w:b/>
                  </w:rPr>
                  <w:t xml:space="preserve">United States International Development Finance Corporation (DFC)</w:t>
                </w:r>
                <w:r>
                  <w:t xml:space="preserve"> and </w:t>
                </w:r>
                <w:r>
                  <w:rPr>
                    <w:b/>
                  </w:rPr>
                  <w:t xml:space="preserve">Calvert Impact Inc.</w:t>
                </w:r>
              </w:t>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1B4B35">
              <w:rPr>
                <w:sz w:val="14"/>
                <w:szCs w:val="14"/>
              </w:rPr>
              <w:t xml:space="preserve">D2 </w:t>
            </w:r>
            <w:r>
              <w:rPr>
                <w:sz w:val="22"/>
                <w:szCs w:val="22"/>
              </w:rPr>
              <w:t>Summary of matter and your department's role – Please say why this matter was important. Also, tell us exactly what role your department played.</w:t>
            </w:r>
          </w:p>
        </w:tc>
      </w:tr>
      <w:tr w:rsidR="00FE41F1" w:rsidTr="00FE41F1">
        <w:tblPrEx>
          <w:tblCellMar>
            <w:top w:w="28" w:type="dxa"/>
            <w:left w:w="28" w:type="dxa"/>
            <w:bottom w:w="28" w:type="dxa"/>
            <w:right w:w="28" w:type="dxa"/>
          </w:tblCellMar>
        </w:tblPrEx>
        <w:trPr>
          <w:gridAfter w:val="1"/>
          <w:wAfter w:w="40" w:type="dxa"/>
          <w:trHeight w:val="1820"/>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sz w:val="22"/>
                <w:szCs w:val="22"/>
              </w:rPr>
            </w:pPr>
            <w:r w:rsidRPr="000345C4">
              <w:rPr>
                <w:sz w:val="22"/>
                <w:szCs w:val="22"/>
              </w:rPr>
              <w:t xml:space="preserve">
                <w:r>
                  <w:rPr>
                    <w:color w:val="FF0000"/>
                  </w:rPr>
                  <w:t xml:space="preserve">[CONFIDENTIAL] The transaction and the amount of the facility are public; the details of the collateral structure are confidential.</w:t>
                </w:r>
                <w:r>
                  <w:t xml:space="preserve"/>
                  <w:br/>
                  <w:t xml:space="preserve"/>
                </w:r>
                <w:r>
                  <w:t xml:space="preserve"/>
                  <w:br/>
                  <w:t xml:space="preserve"/>
                </w:r>
                <w:r>
                  <w:t xml:space="preserve"/>
                  <w:br/>
                  <w:t xml:space="preserve"/>
                </w:r>
                <w:r>
                  <w:t xml:space="preserve">PCG is advising </w:t>
                </w:r>
                <w:r>
                  <w:rPr>
                    <w:b/>
                  </w:rPr>
                  <w:t xml:space="preserve">DFC</w:t>
                </w:r>
                <w:r>
                  <w:t xml:space="preserve"> and </w:t>
                </w:r>
                <w:r>
                  <w:rPr>
                    <w:b/>
                  </w:rPr>
                  <w:t xml:space="preserve">Calvert Impact Inc.</w:t>
                </w:r>
                <w:r>
                  <w:t xml:space="preserve"> on due diligence, negotiations and the structuring of collateral documentation for a </w:t>
                </w:r>
                <w:r>
                  <w:rPr>
                    <w:b/>
                  </w:rPr>
                  <w:t xml:space="preserve">New York law</w:t>
                </w:r>
                <w:r>
                  <w:t xml:space="preserve">-governed credit facility extended by them as lenders to </w:t>
                </w:r>
                <w:r>
                  <w:rPr>
                    <w:b/>
                  </w:rPr>
                  <w:t xml:space="preserve">Imperative Advisors, LLC</w:t>
                </w:r>
                <w:r>
                  <w:t xml:space="preserve"> (</w:t>
                </w:r>
                <w:r>
                  <w:rPr>
                    <w:b/>
                  </w:rPr>
                  <w:t xml:space="preserve">Imperative</w:t>
                </w:r>
                <w:r>
                  <w:t xml:space="preserve">) as borrower. The facility will finance development and construction loans for up to </w:t>
                </w:r>
                <w:r>
                  <w:rPr>
                    <w:b/>
                  </w:rPr>
                  <w:t xml:space="preserve">5,020</w:t>
                </w:r>
                <w:r>
                  <w:t xml:space="preserve"> low-income homes and related amenities across </w:t>
                </w:r>
                <w:r>
                  <w:rPr>
                    <w:b/>
                  </w:rPr>
                  <w:t xml:space="preserve">25</w:t>
                </w:r>
                <w:r>
                  <w:t xml:space="preserve"> housing developments in Mexico, with each development comprising between </w:t>
                </w:r>
                <w:r>
                  <w:rPr>
                    <w:b/>
                  </w:rPr>
                  <w:t xml:space="preserve">200</w:t>
                </w:r>
                <w:r>
                  <w:t xml:space="preserve"> and </w:t>
                </w:r>
                <w:r>
                  <w:rPr>
                    <w:b/>
                  </w:rPr>
                  <w:t xml:space="preserve">600</w:t>
                </w:r>
                <w:r>
                  <w:t xml:space="preserve"> homes and an estimated construction cost of </w:t>
                </w:r>
                <w:r>
                  <w:rPr>
                    <w:b/>
                  </w:rPr>
                  <w:t xml:space="preserve">USD 10,500</w:t>
                </w:r>
                <w:r>
                  <w:t xml:space="preserve"> per home. The homes are being delivered pursuant to pre-agreed development agreements, with construction subsidised by </w:t>
                </w:r>
                <w:r>
                  <w:rPr>
                    <w:b/>
                  </w:rPr>
                  <w:t xml:space="preserve">CONAVI</w:t>
                </w:r>
                <w:r>
                  <w:t xml:space="preserve">, the Mexican federal housing agency, and built by </w:t>
                </w:r>
                <w:r>
                  <w:rPr>
                    <w:b/>
                  </w:rPr>
                  <w:t xml:space="preserve">Echale, S.A. de C.V.</w:t>
                </w:r>
                <w:r>
                  <w:t xml:space="preserve"> through its financial arm, </w:t>
                </w:r>
                <w:r>
                  <w:rPr>
                    <w:b/>
                  </w:rPr>
                  <w:t xml:space="preserve">Cimentafin</w:t>
                </w:r>
                <w:r>
                  <w:t xml:space="preserve">.</w:t>
                </w:r>
                <w:r>
                  <w:t xml:space="preserve"/>
                  <w:br/>
                  <w:t xml:space="preserve"/>
                </w:r>
                <w:r>
                  <w:t xml:space="preserve"/>
                  <w:br/>
                  <w:t xml:space="preserve"/>
                </w:r>
                <w:r>
                  <w:t xml:space="preserve"/>
                  <w:br/>
                  <w:t xml:space="preserve"/>
                </w:r>
                <w:r>
                  <w:t xml:space="preserve">PCG restructured a two-tier, cross-border financing so that the finance documents are governed by </w:t>
                </w:r>
                <w:r>
                  <w:rPr>
                    <w:b/>
                  </w:rPr>
                  <w:t xml:space="preserve">New York law</w:t>
                </w:r>
                <w:r>
                  <w:t xml:space="preserve"> and the security package by </w:t>
                </w:r>
                <w:r>
                  <w:rPr>
                    <w:b/>
                  </w:rPr>
                  <w:t xml:space="preserve">Mexican law</w:t>
                </w:r>
                <w:r>
                  <w:t xml:space="preserve">. The team recalibrated the collateral package to route receivables and loan payments directly into the </w:t>
                </w:r>
                <w:r>
                  <w:rPr>
                    <w:b/>
                  </w:rPr>
                  <w:t xml:space="preserve">DFC/Calvert Guaranty Trust</w:t>
                </w:r>
                <w:r>
                  <w:t xml:space="preserve">, strengthening enforceability and reducing execution risk. It also negotiated an additional corporate guarantee from </w:t>
                </w:r>
                <w:r>
                  <w:rPr>
                    <w:b/>
                  </w:rPr>
                  <w:t xml:space="preserve">Ecoblock International, S.A. de C.V.</w:t>
                </w:r>
                <w:r>
                  <w:t xml:space="preserve"> and developed a mortgage-style security model that preserves lender remedies against delinquent homebuyers while supporting affordability for end borrowers.</w:t>
                </w:r>
                <w:r>
                  <w:t xml:space="preserve"/>
                  <w:br/>
                  <w:t xml:space="preserve"/>
                </w:r>
                <w:r>
                  <w:t xml:space="preserve"/>
                  <w:br/>
                  <w:t xml:space="preserve"/>
                </w:r>
                <w:r>
                  <w:t xml:space="preserve"/>
                  <w:br/>
                  <w:t xml:space="preserve"/>
                </w:r>
                <w:r>
                  <w:t xml:space="preserve">The mandate sits within </w:t>
                </w:r>
                <w:r>
                  <w:rPr>
                    <w:b/>
                  </w:rPr>
                  <w:t xml:space="preserve">DFC</w:t>
                </w:r>
                <w:r>
                  <w:t xml:space="preserve">’s </w:t>
                </w:r>
                <w:r>
                  <w:rPr>
                    <w:b/>
                  </w:rPr>
                  <w:t xml:space="preserve">2X Women’s Initiative</w:t>
                </w:r>
                <w:r>
                  <w:t xml:space="preserve">, supporting housing solutions owned by women, led by women or expanding women’s access to homeownership. It also required coordination across the underlying project documents, including the assumption of certain rights of </w:t>
                </w:r>
                <w:r>
                  <w:rPr>
                    <w:b/>
                  </w:rPr>
                  <w:t xml:space="preserve">Echale</w:t>
                </w:r>
                <w:r>
                  <w:t xml:space="preserve"> and </w:t>
                </w:r>
                <w:r>
                  <w:rPr>
                    <w:b/>
                  </w:rPr>
                  <w:t xml:space="preserve">Cimentafin</w:t>
                </w:r>
                <w:r>
                  <w:t xml:space="preserve">, together with careful structuring to ensure the collateral is properly documented, perfected and enforceable against third parties.</w:t>
                </w:r>
              </w:t>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1B4B35">
              <w:rPr>
                <w:sz w:val="14"/>
                <w:szCs w:val="14"/>
              </w:rPr>
              <w:t>D3</w:t>
            </w:r>
            <w:r>
              <w:rPr>
                <w:sz w:val="22"/>
                <w:szCs w:val="22"/>
              </w:rPr>
              <w:t xml:space="preserve"> Matter value – include currency and amount in figures</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sz w:val="22"/>
                <w:szCs w:val="22"/>
              </w:rPr>
            </w:pPr>
            <w:r w:rsidRPr="000345C4">
              <w:rPr>
                <w:sz w:val="22"/>
                <w:szCs w:val="22"/>
              </w:rPr>
              <w:t xml:space="preserve">
                <w:r>
                  <w:rPr>
                    <w:b/>
                  </w:rPr>
                  <w:t xml:space="preserve">USD 25 million</w:t>
                </w:r>
                <w:r>
                  <w:t xml:space="preserve"> (</w:t>
                </w:r>
                <w:r>
                  <w:rPr>
                    <w:b/>
                  </w:rPr>
                  <w:t xml:space="preserve">USD 20 million</w:t>
                </w:r>
                <w:r>
                  <w:t xml:space="preserve"> by </w:t>
                </w:r>
                <w:r>
                  <w:rPr>
                    <w:b/>
                  </w:rPr>
                  <w:t xml:space="preserve">DFC</w:t>
                </w:r>
                <w:r>
                  <w:t xml:space="preserve"> and </w:t>
                </w:r>
                <w:r>
                  <w:rPr>
                    <w:b/>
                  </w:rPr>
                  <w:t xml:space="preserve">USD 5 million</w:t>
                </w:r>
                <w:r>
                  <w:t xml:space="preserve"> by </w:t>
                </w:r>
                <w:r>
                  <w:rPr>
                    <w:b/>
                  </w:rPr>
                  <w:t xml:space="preserve">Calvert Impact Inc.</w:t>
                </w:r>
                <w:r>
                  <w:t xml:space="preserve">).</w:t>
                </w:r>
              </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pStyle w:val="TableContents"/>
              <w:snapToGrid w:val="0"/>
            </w:pPr>
            <w:r w:rsidRPr="001B4B35">
              <w:rPr>
                <w:sz w:val="14"/>
                <w:szCs w:val="14"/>
              </w:rPr>
              <w:t xml:space="preserve">D4 </w:t>
            </w:r>
            <w:r>
              <w:rPr>
                <w:sz w:val="22"/>
                <w:szCs w:val="22"/>
              </w:rPr>
              <w:t>Is this a cross-border matter? If yes, please indicate the jurisdictions involved.</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sz w:val="22"/>
                <w:szCs w:val="22"/>
              </w:rPr>
            </w:pPr>
            <w:r w:rsidRPr="000345C4">
              <w:rPr>
                <w:sz w:val="22"/>
                <w:szCs w:val="22"/>
              </w:rPr>
              <w:t xml:space="preserve">Mexico and USA</w:t>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D55D56">
              <w:rPr>
                <w:sz w:val="14"/>
                <w:szCs w:val="14"/>
              </w:rPr>
              <w:t>D5</w:t>
            </w:r>
            <w:r>
              <w:rPr>
                <w:sz w:val="22"/>
                <w:szCs w:val="22"/>
              </w:rPr>
              <w:t xml:space="preserve"> Lead partner</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sz w:val="22"/>
                <w:szCs w:val="22"/>
              </w:rPr>
            </w:pPr>
            <w:r w:rsidRPr="000345C4">
              <w:rPr>
                <w:sz w:val="22"/>
                <w:szCs w:val="22"/>
              </w:rPr>
              <w:t xml:space="preserve">Fernando Eraña</w:t>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D55D56">
              <w:rPr>
                <w:sz w:val="14"/>
                <w:szCs w:val="14"/>
              </w:rPr>
              <w:t xml:space="preserve">D6 </w:t>
            </w:r>
            <w:r>
              <w:rPr>
                <w:sz w:val="22"/>
                <w:szCs w:val="22"/>
              </w:rPr>
              <w:t>Other team members</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sz w:val="22"/>
                <w:szCs w:val="22"/>
              </w:rPr>
            </w:pPr>
            <w:r w:rsidRPr="000345C4">
              <w:rPr>
                <w:sz w:val="22"/>
                <w:szCs w:val="22"/>
              </w:rPr>
              <w:t xml:space="preserve">Jorge Labastida, Eduardo Yrigoyen and Omar Sarabia</w:t>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D55D56">
              <w:rPr>
                <w:sz w:val="14"/>
                <w:szCs w:val="14"/>
              </w:rPr>
              <w:t>D7</w:t>
            </w:r>
            <w:r>
              <w:rPr>
                <w:sz w:val="22"/>
                <w:szCs w:val="22"/>
              </w:rPr>
              <w:t xml:space="preserve"> Other firms advising on the matter and their role(s)</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D55D56">
              <w:rPr>
                <w:iCs/>
                <w:sz w:val="14"/>
                <w:szCs w:val="14"/>
              </w:rPr>
              <w:t xml:space="preserve">D8 </w:t>
            </w:r>
            <w:r>
              <w:rPr>
                <w:iCs/>
                <w:sz w:val="22"/>
                <w:szCs w:val="22"/>
              </w:rPr>
              <w:t>Date of completion or current status</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D55D56">
              <w:rPr>
                <w:sz w:val="14"/>
                <w:szCs w:val="14"/>
              </w:rPr>
              <w:t>D9</w:t>
            </w:r>
            <w:r>
              <w:rPr>
                <w:sz w:val="22"/>
                <w:szCs w:val="22"/>
              </w:rPr>
              <w:t xml:space="preserve"> Other information about this matter – e.g. link to press coverage</w:t>
            </w:r>
          </w:p>
        </w:tc>
      </w:tr>
      <w:tr w:rsidR="00FE41F1" w:rsidTr="00FE41F1">
        <w:tblPrEx>
          <w:tblCellMar>
            <w:top w:w="28" w:type="dxa"/>
            <w:left w:w="28" w:type="dxa"/>
            <w:bottom w:w="28" w:type="dxa"/>
            <w:right w:w="28" w:type="dxa"/>
          </w:tblCellMar>
        </w:tblPrEx>
        <w:trPr>
          <w:gridAfter w:val="1"/>
          <w:wAfter w:w="40" w:type="dxa"/>
          <w:trHeight w:val="920"/>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bCs/>
                <w:sz w:val="22"/>
                <w:szCs w:val="22"/>
              </w:rPr>
            </w:pPr>
            <w:r w:rsidRPr="000345C4">
              <w:rPr>
                <w:bCs/>
                <w:sz w:val="22"/>
                <w:szCs w:val="22"/>
              </w:rPr>
              <w:t xml:space="preserve"/>
            </w:r>
          </w:p>
        </w:tc>
      </w:tr>
    </w:tbl>
    <w:p w:rsidR="00FE41F1" w:rsidRPr="00FE41F1" w:rsidRDefault="00FE41F1" w:rsidP="00FE41F1">
      <w:pPr>
        <w:pStyle w:val="InterTableSpacer"/>
      </w:pPr>
    </w:p>
    <w:p w:rsidR="007E7F40" w:rsidRDefault="007E7F40" w:rsidP="00FE41F1"/>
    <w:p w:rsidR="00AB2803" w:rsidRDefault="00AB2803" w:rsidP="00AB2803">
      <w:pPr>
        <w:jc w:val="center"/>
        <w:rPr>
          <w:b/>
          <w:bCs/>
          <w:u w:val="single"/>
        </w:rPr>
      </w:pPr>
      <w:r>
        <w:rPr>
          <w:b/>
          <w:bCs/>
          <w:u w:val="single"/>
        </w:rPr>
        <w:t xml:space="preserve">IMPORTANT: Please do not exceed one page per deal.</w:t>
      </w:r>
    </w:p>
    <w:p w:rsidR="007E7F40" w:rsidRDefault="007E7F40" w:rsidP="007E7F40">
      <w:pPr>
        <w:rPr>
          <w:b/>
          <w:bCs/>
          <w:u w:val="single"/>
        </w:rPr>
      </w:pPr>
    </w:p>
    <w:p w:rsidR="007E7F40" w:rsidRDefault="007E7F40" w:rsidP="007E7F40">
      <w:pPr>
        <w:rPr>
          <w:b/>
          <w:bCs/>
          <w:u w:val="single"/>
        </w:rPr>
      </w:pPr>
    </w:p>
    <w:p w:rsidR="00FE41F1" w:rsidRDefault="00FE41F1">
      <w:pPr>
        <w:widowControl/>
        <w:suppressAutoHyphens w:val="0"/>
        <w:rPr>
          <w:rFonts w:ascii="Calibri" w:eastAsia="Times New Roman" w:hAnsi="Calibri" w:cs="Calibri"/>
          <w:b/>
          <w:bCs/>
          <w:kern w:val="0"/>
          <w:sz w:val="26"/>
          <w:szCs w:val="26"/>
          <w:lang w:bidi="ar-SA"/>
        </w:rPr>
      </w:pPr>
      <w:r>
        <w:rPr>
          <w:b/>
          <w:bCs/>
          <w:sz w:val="26"/>
          <w:szCs w:val="26"/>
        </w:rPr>
        <w:br w:type="page"/>
      </w:r>
    </w:p>
    <w:tbl>
      <w:tblPr>
        <w:tblpPr w:leftFromText="180" w:rightFromText="180" w:vertAnchor="text" w:horzAnchor="margin" w:tblpY="-65"/>
        <w:tblOverlap w:val="never"/>
        <w:tblW w:w="9636" w:type="dxa"/>
        <w:tblLayout w:type="fixed"/>
        <w:tblCellMar>
          <w:left w:w="0" w:type="dxa"/>
          <w:right w:w="0" w:type="dxa"/>
        </w:tblCellMar>
        <w:tblLook w:val="0000" w:firstRow="0" w:lastRow="0" w:firstColumn="0" w:lastColumn="0" w:noHBand="0" w:noVBand="0"/>
      </w:tblPr>
      <w:tblGrid>
        <w:gridCol w:w="9596"/>
        <w:gridCol w:w="40"/>
      </w:tblGrid>
      <w:tr w:rsidR="00FE41F1" w:rsidTr="00FE41F1">
        <w:trPr>
          <w:trHeight w:val="345"/>
        </w:trPr>
        <w:tc>
          <w:tcPr>
            <w:tcW w:w="9596" w:type="dxa"/>
            <w:shd w:val="clear" w:color="auto" w:fill="FFFFFF"/>
          </w:tcPr>
          <w:p w:rsidR="00FE41F1" w:rsidRPr="000345C4" w:rsidRDefault="00FE41F1" w:rsidP="00FE41F1">
            <w:pPr>
              <w:shd w:val="clear" w:color="auto" w:fill="FFFFFF"/>
              <w:snapToGrid w:val="0"/>
              <w:spacing w:line="360" w:lineRule="auto"/>
              <w:rPr>
                <w:b/>
                <w:bCs/>
                <w:sz w:val="26"/>
                <w:szCs w:val="26"/>
              </w:rPr>
            </w:pPr>
            <w:r>
              <w:rPr>
                <w:b/>
                <w:bCs/>
                <w:sz w:val="26"/>
                <w:szCs w:val="26"/>
              </w:rPr>
              <w:lastRenderedPageBreak/>
              <w:t xml:space="preserve">Publishable Work Highlights in last 12 months </w:t>
            </w:r>
          </w:p>
        </w:tc>
        <w:tc>
          <w:tcPr>
            <w:tcW w:w="40" w:type="dxa"/>
            <w:shd w:val="clear" w:color="auto" w:fill="auto"/>
          </w:tcPr>
          <w:p w:rsidR="00FE41F1" w:rsidRDefault="00FE41F1" w:rsidP="00FE41F1">
            <w:pPr>
              <w:snapToGrid w:val="0"/>
            </w:pP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snapToGrid w:val="0"/>
              <w:spacing w:line="360" w:lineRule="auto"/>
              <w:jc w:val="center"/>
            </w:pPr>
            <w:r>
              <w:rPr>
                <w:b/>
                <w:bCs/>
                <w:sz w:val="28"/>
                <w:szCs w:val="28"/>
              </w:rPr>
              <w:t xml:space="preserve">Publishable Matter </w:t>
            </w:r>
            <w:r w:rsidRPr="000345C4">
              <w:rPr>
                <w:b/>
                <w:bCs/>
                <w:sz w:val="28"/>
                <w:szCs w:val="28"/>
              </w:rPr>
              <w:t xml:space="preserve">2</w:t>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1B4B35">
              <w:rPr>
                <w:sz w:val="14"/>
                <w:szCs w:val="14"/>
              </w:rPr>
              <w:t>D1</w:t>
            </w:r>
            <w:r>
              <w:rPr>
                <w:sz w:val="22"/>
                <w:szCs w:val="22"/>
              </w:rPr>
              <w:t xml:space="preserve"> Name of client </w:t>
            </w:r>
            <w:r>
              <w:rPr>
                <w:i/>
                <w:iCs/>
                <w:sz w:val="22"/>
                <w:szCs w:val="22"/>
              </w:rPr>
              <w:t xml:space="preserve">– </w:t>
            </w:r>
            <w:r>
              <w:rPr>
                <w:sz w:val="22"/>
                <w:szCs w:val="22"/>
              </w:rPr>
              <w:t>this will be publishable. If you cannot reveal the client name, give a general description.</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shd w:val="clear" w:color="auto" w:fill="CCFFCC"/>
              <w:snapToGrid w:val="0"/>
              <w:rPr>
                <w:sz w:val="22"/>
                <w:szCs w:val="22"/>
              </w:rPr>
            </w:pPr>
            <w:r w:rsidRPr="000345C4">
              <w:rPr>
                <w:sz w:val="22"/>
                <w:szCs w:val="22"/>
              </w:rPr>
              <w:t xml:space="preserve">Sumitomo Mitsui Banking Corporation (“SMBC”)</w:t>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1B4B35">
              <w:rPr>
                <w:sz w:val="14"/>
                <w:szCs w:val="14"/>
              </w:rPr>
              <w:t xml:space="preserve">D2 </w:t>
            </w:r>
            <w:r>
              <w:rPr>
                <w:sz w:val="22"/>
                <w:szCs w:val="22"/>
              </w:rPr>
              <w:t>Summary of matter and your department's role – Please say why this matter was important. Also, tell us exactly what role your department played.</w:t>
            </w:r>
          </w:p>
        </w:tc>
      </w:tr>
      <w:tr w:rsidR="00FE41F1" w:rsidTr="00FE41F1">
        <w:tblPrEx>
          <w:tblCellMar>
            <w:top w:w="28" w:type="dxa"/>
            <w:left w:w="28" w:type="dxa"/>
            <w:bottom w:w="28" w:type="dxa"/>
            <w:right w:w="28" w:type="dxa"/>
          </w:tblCellMar>
        </w:tblPrEx>
        <w:trPr>
          <w:gridAfter w:val="1"/>
          <w:wAfter w:w="40" w:type="dxa"/>
          <w:trHeight w:val="1820"/>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sz w:val="22"/>
                <w:szCs w:val="22"/>
              </w:rPr>
            </w:pPr>
            <w:r w:rsidRPr="000345C4">
              <w:rPr>
                <w:sz w:val="22"/>
                <w:szCs w:val="22"/>
              </w:rPr>
              <w:t xml:space="preserve">
                <w:r>
                  <w:t xml:space="preserve">PCG regularly advises </w:t>
                </w:r>
                <w:r>
                  <w:rPr>
                    <w:b/>
                  </w:rPr>
                  <w:t xml:space="preserve">SMBC</w:t>
                </w:r>
                <w:r>
                  <w:t xml:space="preserve"> on </w:t>
                </w:r>
                <w:r>
                  <w:rPr>
                    <w:b/>
                  </w:rPr>
                  <w:t xml:space="preserve">financial regulatory</w:t>
                </w:r>
                <w:r>
                  <w:t xml:space="preserve"> matters and transactions in Mexico, including the corporate, regulatory and compliance maintenance of </w:t>
                </w:r>
                <w:r>
                  <w:rPr>
                    <w:b/>
                  </w:rPr>
                  <w:t xml:space="preserve">SMBC, S.A.P.I. de C.V., SOFOM, E.N.R.</w:t>
                </w:r>
                <w:r>
                  <w:t xml:space="preserve">, its non-bank lending subsidiary. The work spans the ongoing review of products and structures, including single-term and deferred drawdown loans, revolving credit facilities, </w:t>
                </w:r>
                <w:r>
                  <w:rPr>
                    <w:b/>
                  </w:rPr>
                  <w:t xml:space="preserve">project finance</w:t>
                </w:r>
                <w:r>
                  <w:t xml:space="preserve">, </w:t>
                </w:r>
                <w:r>
                  <w:rPr>
                    <w:b/>
                  </w:rPr>
                  <w:t xml:space="preserve">Banobras</w:t>
                </w:r>
                <w:r>
                  <w:t xml:space="preserve">-backed long-term </w:t>
                </w:r>
                <w:r>
                  <w:rPr>
                    <w:b/>
                  </w:rPr>
                  <w:t xml:space="preserve">MXN</w:t>
                </w:r>
                <w:r>
                  <w:t xml:space="preserve"> funding, finance leases in </w:t>
                </w:r>
                <w:r>
                  <w:rPr>
                    <w:b/>
                  </w:rPr>
                  <w:t xml:space="preserve">MXN</w:t>
                </w:r>
                <w:r>
                  <w:t xml:space="preserve"> or </w:t>
                </w:r>
                <w:r>
                  <w:rPr>
                    <w:b/>
                  </w:rPr>
                  <w:t xml:space="preserve">USD</w:t>
                </w:r>
                <w:r>
                  <w:t xml:space="preserve">, and derivatives.</w:t>
                </w:r>
                <w:r>
                  <w:t xml:space="preserve"/>
                  <w:br/>
                  <w:t xml:space="preserve"/>
                </w:r>
                <w:r>
                  <w:t xml:space="preserve"/>
                  <w:br/>
                  <w:t xml:space="preserve"/>
                </w:r>
                <w:r>
                  <w:t xml:space="preserve"/>
                  <w:br/>
                  <w:t xml:space="preserve"/>
                </w:r>
                <w:r>
                  <w:t xml:space="preserve">The mandate requires close monitoring of Mexican regulatory developments and a practical understanding of how those rules affect origination, liquidity management, hedging, disclosure and client documentation. PCG’s role is to help </w:t>
                </w:r>
                <w:r>
                  <w:rPr>
                    <w:b/>
                  </w:rPr>
                  <w:t xml:space="preserve">SMBC</w:t>
                </w:r>
                <w:r>
                  <w:t xml:space="preserve"> maintain compliance across its business lines while preserving operational flexibility across a diversified lending and treasury platform.</w:t>
                </w:r>
              </w:t>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1B4B35">
              <w:rPr>
                <w:sz w:val="14"/>
                <w:szCs w:val="14"/>
              </w:rPr>
              <w:t>D3</w:t>
            </w:r>
            <w:r>
              <w:rPr>
                <w:sz w:val="22"/>
                <w:szCs w:val="22"/>
              </w:rPr>
              <w:t xml:space="preserve"> Matter value – include currency and amount in figures</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sz w:val="22"/>
                <w:szCs w:val="22"/>
              </w:rPr>
            </w:pPr>
            <w:r w:rsidRPr="000345C4">
              <w:rPr>
                <w:sz w:val="22"/>
                <w:szCs w:val="22"/>
              </w:rPr>
              <w:t xml:space="preserve">N/A</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pStyle w:val="TableContents"/>
              <w:snapToGrid w:val="0"/>
            </w:pPr>
            <w:r w:rsidRPr="001B4B35">
              <w:rPr>
                <w:sz w:val="14"/>
                <w:szCs w:val="14"/>
              </w:rPr>
              <w:t xml:space="preserve">D4 </w:t>
            </w:r>
            <w:r>
              <w:rPr>
                <w:sz w:val="22"/>
                <w:szCs w:val="22"/>
              </w:rPr>
              <w:t>Is this a cross-border matter? If yes, please indicate the jurisdictions involved.</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sz w:val="22"/>
                <w:szCs w:val="22"/>
              </w:rPr>
            </w:pPr>
            <w:r w:rsidRPr="000345C4">
              <w:rPr>
                <w:sz w:val="22"/>
                <w:szCs w:val="22"/>
              </w:rPr>
              <w:t xml:space="preserve">USA, Japan, Mexico</w:t>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D55D56">
              <w:rPr>
                <w:sz w:val="14"/>
                <w:szCs w:val="14"/>
              </w:rPr>
              <w:t>D5</w:t>
            </w:r>
            <w:r>
              <w:rPr>
                <w:sz w:val="22"/>
                <w:szCs w:val="22"/>
              </w:rPr>
              <w:t xml:space="preserve"> Lead partner</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sz w:val="22"/>
                <w:szCs w:val="22"/>
              </w:rPr>
            </w:pPr>
            <w:r w:rsidRPr="000345C4">
              <w:rPr>
                <w:sz w:val="22"/>
                <w:szCs w:val="22"/>
              </w:rPr>
              <w:t xml:space="preserve">Jorge Labastida</w:t>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D55D56">
              <w:rPr>
                <w:sz w:val="14"/>
                <w:szCs w:val="14"/>
              </w:rPr>
              <w:t xml:space="preserve">D6 </w:t>
            </w:r>
            <w:r>
              <w:rPr>
                <w:sz w:val="22"/>
                <w:szCs w:val="22"/>
              </w:rPr>
              <w:t>Other team members</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sz w:val="22"/>
                <w:szCs w:val="22"/>
              </w:rPr>
            </w:pPr>
            <w:r w:rsidRPr="000345C4">
              <w:rPr>
                <w:sz w:val="22"/>
                <w:szCs w:val="22"/>
              </w:rPr>
              <w:t xml:space="preserve">Eduardo Yrigoyen</w:t>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D55D56">
              <w:rPr>
                <w:sz w:val="14"/>
                <w:szCs w:val="14"/>
              </w:rPr>
              <w:t>D7</w:t>
            </w:r>
            <w:r>
              <w:rPr>
                <w:sz w:val="22"/>
                <w:szCs w:val="22"/>
              </w:rPr>
              <w:t xml:space="preserve"> Other firms advising on the matter and their role(s)</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D55D56">
              <w:rPr>
                <w:iCs/>
                <w:sz w:val="14"/>
                <w:szCs w:val="14"/>
              </w:rPr>
              <w:t xml:space="preserve">D8 </w:t>
            </w:r>
            <w:r>
              <w:rPr>
                <w:iCs/>
                <w:sz w:val="22"/>
                <w:szCs w:val="22"/>
              </w:rPr>
              <w:t>Date of completion or current status</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D55D56">
              <w:rPr>
                <w:sz w:val="14"/>
                <w:szCs w:val="14"/>
              </w:rPr>
              <w:t>D9</w:t>
            </w:r>
            <w:r>
              <w:rPr>
                <w:sz w:val="22"/>
                <w:szCs w:val="22"/>
              </w:rPr>
              <w:t xml:space="preserve"> Other information about this matter – e.g. link to press coverage</w:t>
            </w:r>
          </w:p>
        </w:tc>
      </w:tr>
      <w:tr w:rsidR="00FE41F1" w:rsidTr="00FE41F1">
        <w:tblPrEx>
          <w:tblCellMar>
            <w:top w:w="28" w:type="dxa"/>
            <w:left w:w="28" w:type="dxa"/>
            <w:bottom w:w="28" w:type="dxa"/>
            <w:right w:w="28" w:type="dxa"/>
          </w:tblCellMar>
        </w:tblPrEx>
        <w:trPr>
          <w:gridAfter w:val="1"/>
          <w:wAfter w:w="40" w:type="dxa"/>
          <w:trHeight w:val="920"/>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bCs/>
                <w:sz w:val="22"/>
                <w:szCs w:val="22"/>
              </w:rPr>
            </w:pPr>
            <w:r w:rsidRPr="000345C4">
              <w:rPr>
                <w:bCs/>
                <w:sz w:val="22"/>
                <w:szCs w:val="22"/>
              </w:rPr>
              <w:t xml:space="preserve"/>
            </w:r>
          </w:p>
        </w:tc>
      </w:tr>
    </w:tbl>
    <w:p w:rsidR="00FE41F1" w:rsidRPr="00FE41F1" w:rsidRDefault="00FE41F1" w:rsidP="00FE41F1">
      <w:pPr>
        <w:pStyle w:val="InterTableSpacer"/>
      </w:pPr>
    </w:p>
    <w:p w:rsidR="007E7F40" w:rsidRDefault="007E7F40" w:rsidP="00FE41F1"/>
    <w:p w:rsidR="00AB2803" w:rsidRDefault="00AB2803" w:rsidP="00AB2803">
      <w:pPr>
        <w:jc w:val="center"/>
        <w:rPr>
          <w:b/>
          <w:bCs/>
          <w:u w:val="single"/>
        </w:rPr>
      </w:pPr>
      <w:r>
        <w:rPr>
          <w:b/>
          <w:bCs/>
          <w:u w:val="single"/>
        </w:rPr>
        <w:t xml:space="preserve">IMPORTANT: Please do not exceed one page per deal.</w:t>
      </w:r>
    </w:p>
    <w:p w:rsidR="007E7F40" w:rsidRDefault="007E7F40" w:rsidP="007E7F40">
      <w:pPr>
        <w:rPr>
          <w:b/>
          <w:bCs/>
          <w:u w:val="single"/>
        </w:rPr>
      </w:pPr>
    </w:p>
    <w:p w:rsidR="007E7F40" w:rsidRDefault="007E7F40" w:rsidP="007E7F40">
      <w:pPr>
        <w:rPr>
          <w:b/>
          <w:bCs/>
          <w:u w:val="single"/>
        </w:rPr>
      </w:pPr>
    </w:p>
    <w:p w:rsidR="00FE41F1" w:rsidRDefault="00FE41F1">
      <w:pPr>
        <w:widowControl/>
        <w:suppressAutoHyphens w:val="0"/>
        <w:rPr>
          <w:rFonts w:ascii="Calibri" w:eastAsia="Times New Roman" w:hAnsi="Calibri" w:cs="Calibri"/>
          <w:b/>
          <w:bCs/>
          <w:kern w:val="0"/>
          <w:sz w:val="26"/>
          <w:szCs w:val="26"/>
          <w:lang w:bidi="ar-SA"/>
        </w:rPr>
      </w:pPr>
      <w:r>
        <w:rPr>
          <w:b/>
          <w:bCs/>
          <w:sz w:val="26"/>
          <w:szCs w:val="26"/>
        </w:rPr>
        <w:br w:type="page"/>
      </w:r>
    </w:p>
    <w:tbl>
      <w:tblPr>
        <w:tblpPr w:leftFromText="180" w:rightFromText="180" w:vertAnchor="text" w:horzAnchor="margin" w:tblpY="-65"/>
        <w:tblOverlap w:val="never"/>
        <w:tblW w:w="9636" w:type="dxa"/>
        <w:tblLayout w:type="fixed"/>
        <w:tblCellMar>
          <w:left w:w="0" w:type="dxa"/>
          <w:right w:w="0" w:type="dxa"/>
        </w:tblCellMar>
        <w:tblLook w:val="0000" w:firstRow="0" w:lastRow="0" w:firstColumn="0" w:lastColumn="0" w:noHBand="0" w:noVBand="0"/>
      </w:tblPr>
      <w:tblGrid>
        <w:gridCol w:w="9596"/>
        <w:gridCol w:w="40"/>
      </w:tblGrid>
      <w:tr w:rsidR="00FE41F1" w:rsidTr="00FE41F1">
        <w:trPr>
          <w:trHeight w:val="345"/>
        </w:trPr>
        <w:tc>
          <w:tcPr>
            <w:tcW w:w="9596" w:type="dxa"/>
            <w:shd w:val="clear" w:color="auto" w:fill="FFFFFF"/>
          </w:tcPr>
          <w:p w:rsidR="00FE41F1" w:rsidRPr="000345C4" w:rsidRDefault="00FE41F1" w:rsidP="00FE41F1">
            <w:pPr>
              <w:shd w:val="clear" w:color="auto" w:fill="FFFFFF"/>
              <w:snapToGrid w:val="0"/>
              <w:spacing w:line="360" w:lineRule="auto"/>
              <w:rPr>
                <w:b/>
                <w:bCs/>
                <w:sz w:val="26"/>
                <w:szCs w:val="26"/>
              </w:rPr>
            </w:pPr>
            <w:r>
              <w:rPr>
                <w:b/>
                <w:bCs/>
                <w:sz w:val="26"/>
                <w:szCs w:val="26"/>
              </w:rPr>
              <w:lastRenderedPageBreak/>
              <w:t xml:space="preserve">Publishable Work Highlights in last 12 months </w:t>
            </w:r>
          </w:p>
        </w:tc>
        <w:tc>
          <w:tcPr>
            <w:tcW w:w="40" w:type="dxa"/>
            <w:shd w:val="clear" w:color="auto" w:fill="auto"/>
          </w:tcPr>
          <w:p w:rsidR="00FE41F1" w:rsidRDefault="00FE41F1" w:rsidP="00FE41F1">
            <w:pPr>
              <w:snapToGrid w:val="0"/>
            </w:pP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snapToGrid w:val="0"/>
              <w:spacing w:line="360" w:lineRule="auto"/>
              <w:jc w:val="center"/>
            </w:pPr>
            <w:r>
              <w:rPr>
                <w:b/>
                <w:bCs/>
                <w:sz w:val="28"/>
                <w:szCs w:val="28"/>
              </w:rPr>
              <w:t xml:space="preserve">Publishable Matter </w:t>
            </w:r>
            <w:r w:rsidRPr="000345C4">
              <w:rPr>
                <w:b/>
                <w:bCs/>
                <w:sz w:val="28"/>
                <w:szCs w:val="28"/>
              </w:rPr>
              <w:t xml:space="preserve">3</w:t>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1B4B35">
              <w:rPr>
                <w:sz w:val="14"/>
                <w:szCs w:val="14"/>
              </w:rPr>
              <w:t>D1</w:t>
            </w:r>
            <w:r>
              <w:rPr>
                <w:sz w:val="22"/>
                <w:szCs w:val="22"/>
              </w:rPr>
              <w:t xml:space="preserve"> Name of client </w:t>
            </w:r>
            <w:r>
              <w:rPr>
                <w:i/>
                <w:iCs/>
                <w:sz w:val="22"/>
                <w:szCs w:val="22"/>
              </w:rPr>
              <w:t xml:space="preserve">– </w:t>
            </w:r>
            <w:r>
              <w:rPr>
                <w:sz w:val="22"/>
                <w:szCs w:val="22"/>
              </w:rPr>
              <w:t>this will be publishable. If you cannot reveal the client name, give a general description.</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shd w:val="clear" w:color="auto" w:fill="CCFFCC"/>
              <w:snapToGrid w:val="0"/>
              <w:rPr>
                <w:sz w:val="22"/>
                <w:szCs w:val="22"/>
              </w:rPr>
            </w:pPr>
            <w:r w:rsidRPr="000345C4">
              <w:rPr>
                <w:sz w:val="22"/>
                <w:szCs w:val="22"/>
              </w:rPr>
              <w:t xml:space="preserve">Grupo Finansiell, S.A.P.I. de C.V. (Doopla)</w:t>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1B4B35">
              <w:rPr>
                <w:sz w:val="14"/>
                <w:szCs w:val="14"/>
              </w:rPr>
              <w:t xml:space="preserve">D2 </w:t>
            </w:r>
            <w:r>
              <w:rPr>
                <w:sz w:val="22"/>
                <w:szCs w:val="22"/>
              </w:rPr>
              <w:t>Summary of matter and your department's role – Please say why this matter was important. Also, tell us exactly what role your department played.</w:t>
            </w:r>
          </w:p>
        </w:tc>
      </w:tr>
      <w:tr w:rsidR="00FE41F1" w:rsidTr="00FE41F1">
        <w:tblPrEx>
          <w:tblCellMar>
            <w:top w:w="28" w:type="dxa"/>
            <w:left w:w="28" w:type="dxa"/>
            <w:bottom w:w="28" w:type="dxa"/>
            <w:right w:w="28" w:type="dxa"/>
          </w:tblCellMar>
        </w:tblPrEx>
        <w:trPr>
          <w:gridAfter w:val="1"/>
          <w:wAfter w:w="40" w:type="dxa"/>
          <w:trHeight w:val="1820"/>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sz w:val="22"/>
                <w:szCs w:val="22"/>
              </w:rPr>
            </w:pPr>
            <w:r w:rsidRPr="000345C4">
              <w:rPr>
                <w:sz w:val="22"/>
                <w:szCs w:val="22"/>
              </w:rPr>
              <w:t xml:space="preserve">
                <w:r>
                  <w:t xml:space="preserve">PCG routinely advises </w:t>
                </w:r>
                <w:r>
                  <w:rPr>
                    <w:b/>
                  </w:rPr>
                  <w:t xml:space="preserve">Doopla</w:t>
                </w:r>
                <w:r>
                  <w:t xml:space="preserve"> on </w:t>
                </w:r>
                <w:r>
                  <w:rPr>
                    <w:b/>
                  </w:rPr>
                  <w:t xml:space="preserve">regulatory compliance</w:t>
                </w:r>
                <w:r>
                  <w:t xml:space="preserve">. As a crowdsourcing platform operating under a </w:t>
                </w:r>
                <w:r>
                  <w:rPr>
                    <w:b/>
                  </w:rPr>
                  <w:t xml:space="preserve">Fintech</w:t>
                </w:r>
                <w:r>
                  <w:t xml:space="preserve"> licence, </w:t>
                </w:r>
                <w:r>
                  <w:rPr>
                    <w:b/>
                  </w:rPr>
                  <w:t xml:space="preserve">Doopla</w:t>
                </w:r>
                <w:r>
                  <w:t xml:space="preserve"> is supervised by the </w:t>
                </w:r>
                <w:r>
                  <w:rPr>
                    <w:b/>
                  </w:rPr>
                  <w:t xml:space="preserve">Comisión Nacional Bancaria y de Valores</w:t>
                </w:r>
                <w:r>
                  <w:t xml:space="preserve"> and the </w:t>
                </w:r>
                <w:r>
                  <w:rPr>
                    <w:b/>
                  </w:rPr>
                  <w:t xml:space="preserve">Comisión Nacional para la Defensa de los Usuarios de Servicios Financieros</w:t>
                </w:r>
                <w:r>
                  <w:t xml:space="preserve">.</w:t>
                </w:r>
                <w:r>
                  <w:t xml:space="preserve"/>
                  <w:br/>
                  <w:t xml:space="preserve"/>
                </w:r>
                <w:r>
                  <w:t xml:space="preserve"/>
                  <w:br/>
                  <w:t xml:space="preserve"/>
                </w:r>
                <w:r>
                  <w:t xml:space="preserve"/>
                  <w:br/>
                  <w:t xml:space="preserve"/>
                </w:r>
                <w:r>
                  <w:t xml:space="preserve">The work focuses on ensuring that contracts, account statements, website disclosures, fees, interest and application processes remain aligned with the applicable </w:t>
                </w:r>
                <w:r>
                  <w:rPr>
                    <w:b/>
                  </w:rPr>
                  <w:t xml:space="preserve">Fintech</w:t>
                </w:r>
                <w:r>
                  <w:t xml:space="preserve"> framework. Given the intensity of regulatory scrutiny in this sector, the mandate requires continuous monitoring of compliance obligations and a disciplined approach to documentation and consumer-facing materials.</w:t>
                </w:r>
              </w:t>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1B4B35">
              <w:rPr>
                <w:sz w:val="14"/>
                <w:szCs w:val="14"/>
              </w:rPr>
              <w:t>D3</w:t>
            </w:r>
            <w:r>
              <w:rPr>
                <w:sz w:val="22"/>
                <w:szCs w:val="22"/>
              </w:rPr>
              <w:t xml:space="preserve"> Matter value – include currency and amount in figures</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sz w:val="22"/>
                <w:szCs w:val="22"/>
              </w:rPr>
            </w:pPr>
            <w:r w:rsidRPr="000345C4">
              <w:rPr>
                <w:sz w:val="22"/>
                <w:szCs w:val="22"/>
              </w:rPr>
              <w:t xml:space="preserve">N/A</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pStyle w:val="TableContents"/>
              <w:snapToGrid w:val="0"/>
            </w:pPr>
            <w:r w:rsidRPr="001B4B35">
              <w:rPr>
                <w:sz w:val="14"/>
                <w:szCs w:val="14"/>
              </w:rPr>
              <w:t xml:space="preserve">D4 </w:t>
            </w:r>
            <w:r>
              <w:rPr>
                <w:sz w:val="22"/>
                <w:szCs w:val="22"/>
              </w:rPr>
              <w:t>Is this a cross-border matter? If yes, please indicate the jurisdictions involved.</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D55D56">
              <w:rPr>
                <w:sz w:val="14"/>
                <w:szCs w:val="14"/>
              </w:rPr>
              <w:t>D5</w:t>
            </w:r>
            <w:r>
              <w:rPr>
                <w:sz w:val="22"/>
                <w:szCs w:val="22"/>
              </w:rPr>
              <w:t xml:space="preserve"> Lead partner</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sz w:val="22"/>
                <w:szCs w:val="22"/>
              </w:rPr>
            </w:pPr>
            <w:r w:rsidRPr="000345C4">
              <w:rPr>
                <w:sz w:val="22"/>
                <w:szCs w:val="22"/>
              </w:rPr>
              <w:t xml:space="preserve">Fernando Eraña</w:t>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D55D56">
              <w:rPr>
                <w:sz w:val="14"/>
                <w:szCs w:val="14"/>
              </w:rPr>
              <w:t xml:space="preserve">D6 </w:t>
            </w:r>
            <w:r>
              <w:rPr>
                <w:sz w:val="22"/>
                <w:szCs w:val="22"/>
              </w:rPr>
              <w:t>Other team members</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sz w:val="22"/>
                <w:szCs w:val="22"/>
              </w:rPr>
            </w:pPr>
            <w:r w:rsidRPr="000345C4">
              <w:rPr>
                <w:sz w:val="22"/>
                <w:szCs w:val="22"/>
              </w:rPr>
              <w:t xml:space="preserve">Eduardo Yrigoyen</w:t>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D55D56">
              <w:rPr>
                <w:sz w:val="14"/>
                <w:szCs w:val="14"/>
              </w:rPr>
              <w:t>D7</w:t>
            </w:r>
            <w:r>
              <w:rPr>
                <w:sz w:val="22"/>
                <w:szCs w:val="22"/>
              </w:rPr>
              <w:t xml:space="preserve"> Other firms advising on the matter and their role(s)</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D55D56">
              <w:rPr>
                <w:iCs/>
                <w:sz w:val="14"/>
                <w:szCs w:val="14"/>
              </w:rPr>
              <w:t xml:space="preserve">D8 </w:t>
            </w:r>
            <w:r>
              <w:rPr>
                <w:iCs/>
                <w:sz w:val="22"/>
                <w:szCs w:val="22"/>
              </w:rPr>
              <w:t>Date of completion or current status</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D55D56">
              <w:rPr>
                <w:sz w:val="14"/>
                <w:szCs w:val="14"/>
              </w:rPr>
              <w:t>D9</w:t>
            </w:r>
            <w:r>
              <w:rPr>
                <w:sz w:val="22"/>
                <w:szCs w:val="22"/>
              </w:rPr>
              <w:t xml:space="preserve"> Other information about this matter – e.g. link to press coverage</w:t>
            </w:r>
          </w:p>
        </w:tc>
      </w:tr>
      <w:tr w:rsidR="00FE41F1" w:rsidTr="00FE41F1">
        <w:tblPrEx>
          <w:tblCellMar>
            <w:top w:w="28" w:type="dxa"/>
            <w:left w:w="28" w:type="dxa"/>
            <w:bottom w:w="28" w:type="dxa"/>
            <w:right w:w="28" w:type="dxa"/>
          </w:tblCellMar>
        </w:tblPrEx>
        <w:trPr>
          <w:gridAfter w:val="1"/>
          <w:wAfter w:w="40" w:type="dxa"/>
          <w:trHeight w:val="920"/>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bCs/>
                <w:sz w:val="22"/>
                <w:szCs w:val="22"/>
              </w:rPr>
            </w:pPr>
            <w:r w:rsidRPr="000345C4">
              <w:rPr>
                <w:bCs/>
                <w:sz w:val="22"/>
                <w:szCs w:val="22"/>
              </w:rPr>
              <w:t xml:space="preserve"/>
            </w:r>
          </w:p>
        </w:tc>
      </w:tr>
    </w:tbl>
    <w:p w:rsidR="00FE41F1" w:rsidRPr="00FE41F1" w:rsidRDefault="00FE41F1" w:rsidP="00FE41F1">
      <w:pPr>
        <w:pStyle w:val="InterTableSpacer"/>
      </w:pPr>
    </w:p>
    <w:p w:rsidR="007E7F40" w:rsidRDefault="007E7F40" w:rsidP="00FE41F1"/>
    <w:p w:rsidR="00AB2803" w:rsidRDefault="00AB2803" w:rsidP="00AB2803">
      <w:pPr>
        <w:jc w:val="center"/>
        <w:rPr>
          <w:b/>
          <w:bCs/>
          <w:u w:val="single"/>
        </w:rPr>
      </w:pPr>
      <w:r>
        <w:rPr>
          <w:b/>
          <w:bCs/>
          <w:u w:val="single"/>
        </w:rPr>
        <w:t xml:space="preserve">IMPORTANT: Please do not exceed one page per deal.</w:t>
      </w:r>
    </w:p>
    <w:p w:rsidR="007E7F40" w:rsidRDefault="007E7F40" w:rsidP="007E7F40">
      <w:pPr>
        <w:rPr>
          <w:b/>
          <w:bCs/>
          <w:u w:val="single"/>
        </w:rPr>
      </w:pPr>
    </w:p>
    <w:p w:rsidR="007E7F40" w:rsidRDefault="007E7F40" w:rsidP="007E7F40">
      <w:pPr>
        <w:rPr>
          <w:b/>
          <w:bCs/>
          <w:u w:val="single"/>
        </w:rPr>
      </w:pPr>
    </w:p>
    <w:p w:rsidR="00D55D56" w:rsidRDefault="00D55D56" w:rsidP="00D55D56">
      <w:pPr>
        <w:jc w:val="center"/>
        <w:rPr>
          <w:b/>
          <w:bCs/>
          <w:u w:val="single"/>
        </w:rPr>
      </w:pPr>
    </w:p>
    <w:p w:rsidR="00D55D56" w:rsidRDefault="00D55D56" w:rsidP="00D55D56">
      <w:pPr>
        <w:jc w:val="center"/>
        <w:rPr>
          <w:b/>
          <w:bCs/>
          <w:u w:val="single"/>
        </w:rPr>
      </w:pPr>
    </w:p>
    <w:p w:rsidR="00D55D56" w:rsidRDefault="00D55D56" w:rsidP="000345C4">
      <w:pPr>
        <w:rPr>
          <w:b/>
          <w:bCs/>
          <w:u w:val="single"/>
        </w:rPr>
        <w:sectPr w:rsidR="00D55D56" w:rsidSect="00813FA9">
          <w:headerReference w:type="default" r:id="rId16"/>
          <w:pgSz w:w="11906" w:h="16838"/>
          <w:pgMar w:top="1134" w:right="1134" w:bottom="1134" w:left="1134" w:header="720" w:footer="720" w:gutter="0"/>
          <w:cols w:space="720"/>
          <w:docGrid w:linePitch="360"/>
        </w:sectPr>
      </w:pPr>
    </w:p>
    <w:p w:rsidR="00D55D56" w:rsidRDefault="00D55D56" w:rsidP="00D55D56">
      <w:pPr>
        <w:pStyle w:val="Textoindependiente"/>
        <w:snapToGrid w:val="0"/>
        <w:spacing w:line="360" w:lineRule="auto"/>
        <w:jc w:val="center"/>
        <w:rPr>
          <w:b/>
          <w:bCs/>
        </w:rPr>
      </w:pPr>
      <w:r>
        <w:rPr>
          <w:b/>
          <w:bCs/>
        </w:rPr>
        <w:lastRenderedPageBreak/>
        <w:t>E. CONFIDENTIAL INFORMATION</w:t>
      </w:r>
    </w:p>
    <w:p w:rsidR="00D55D56" w:rsidRDefault="00D55D56" w:rsidP="00D55D56">
      <w:pPr>
        <w:jc w:val="center"/>
        <w:rPr>
          <w:b/>
          <w:bCs/>
          <w:u w:val="single"/>
        </w:rPr>
      </w:pPr>
    </w:p>
    <w:p w:rsidR="00D55D56" w:rsidRDefault="00AB2803" w:rsidP="00AB2803">
      <w:pPr>
        <w:snapToGrid w:val="0"/>
        <w:spacing w:line="100" w:lineRule="atLeast"/>
        <w:rPr>
          <w:sz w:val="22"/>
          <w:szCs w:val="22"/>
        </w:rPr>
      </w:pPr>
      <w:r>
        <w:rPr>
          <w:sz w:val="22"/>
          <w:szCs w:val="22"/>
        </w:rPr>
        <w:t xml:space="preserve">All information in section 'E' is considered </w:t>
      </w:r>
      <w:r>
        <w:rPr>
          <w:sz w:val="22"/>
          <w:szCs w:val="22"/>
          <w:u w:val="single"/>
        </w:rPr>
        <w:t>CONFIDENTIAL</w:t>
      </w:r>
      <w:r>
        <w:rPr>
          <w:sz w:val="22"/>
          <w:szCs w:val="22"/>
        </w:rPr>
        <w:t xml:space="preserve"> and </w:t>
      </w:r>
      <w:r>
        <w:rPr>
          <w:sz w:val="22"/>
          <w:szCs w:val="22"/>
          <w:u w:val="single"/>
        </w:rPr>
        <w:t>NOT FOR PUBLICATION</w:t>
      </w:r>
      <w:r>
        <w:rPr>
          <w:sz w:val="22"/>
          <w:szCs w:val="22"/>
        </w:rPr>
        <w:t xml:space="preserve">. </w:t>
      </w:r>
    </w:p>
    <w:p w:rsidR="00AB2803" w:rsidRDefault="00AB2803" w:rsidP="00AB2803">
      <w:pPr>
        <w:snapToGrid w:val="0"/>
        <w:spacing w:line="100" w:lineRule="atLeast"/>
        <w:rPr>
          <w:sz w:val="22"/>
          <w:szCs w:val="22"/>
        </w:rPr>
      </w:pPr>
      <w:r>
        <w:rPr>
          <w:sz w:val="22"/>
          <w:szCs w:val="22"/>
        </w:rPr>
        <w:t xml:space="preserve">Information in this section will only be used for our internal ranking purposes. If any part of a matter is confidential it should be included in this section 'E' not section 'D'. </w:t>
      </w:r>
      <w:r>
        <w:rPr>
          <w:sz w:val="22"/>
          <w:szCs w:val="22"/>
        </w:rPr>
        <w:br/>
      </w:r>
    </w:p>
    <w:tbl>
      <w:tblPr>
        <w:tblW w:w="9662" w:type="dxa"/>
        <w:tblInd w:w="-32" w:type="dxa"/>
        <w:tblLayout w:type="fixed"/>
        <w:tblCellMar>
          <w:top w:w="28" w:type="dxa"/>
          <w:left w:w="28" w:type="dxa"/>
          <w:bottom w:w="28" w:type="dxa"/>
          <w:right w:w="28" w:type="dxa"/>
        </w:tblCellMar>
        <w:tblLook w:val="0000" w:firstRow="0" w:lastRow="0" w:firstColumn="0" w:lastColumn="0" w:noHBand="0" w:noVBand="0"/>
      </w:tblPr>
      <w:tblGrid>
        <w:gridCol w:w="525"/>
        <w:gridCol w:w="6780"/>
        <w:gridCol w:w="2357"/>
      </w:tblGrid>
      <w:tr w:rsidR="00AB2803" w:rsidTr="005B6C3B">
        <w:trPr>
          <w:trHeight w:val="375"/>
        </w:trPr>
        <w:tc>
          <w:tcPr>
            <w:tcW w:w="9662" w:type="dxa"/>
            <w:gridSpan w:val="3"/>
            <w:tcBorders>
              <w:top w:val="single" w:sz="4" w:space="0" w:color="C0C0C0"/>
              <w:left w:val="single" w:sz="4" w:space="0" w:color="C0C0C0"/>
              <w:bottom w:val="single" w:sz="4" w:space="0" w:color="C0C0C0"/>
              <w:right w:val="single" w:sz="4" w:space="0" w:color="C0C0C0"/>
            </w:tcBorders>
            <w:shd w:val="clear" w:color="auto" w:fill="auto"/>
          </w:tcPr>
          <w:p w:rsidR="00AB2803" w:rsidRDefault="00AB2803" w:rsidP="00B9523C">
            <w:pPr>
              <w:keepNext/>
              <w:snapToGrid w:val="0"/>
            </w:pPr>
            <w:r w:rsidRPr="00D55D56">
              <w:rPr>
                <w:sz w:val="14"/>
                <w:szCs w:val="14"/>
              </w:rPr>
              <w:lastRenderedPageBreak/>
              <w:t>E0</w:t>
            </w:r>
            <w:r>
              <w:rPr>
                <w:b/>
                <w:bCs/>
                <w:sz w:val="22"/>
                <w:szCs w:val="22"/>
              </w:rPr>
              <w:t xml:space="preserve"> – </w:t>
            </w:r>
            <w:r>
              <w:rPr>
                <w:b/>
                <w:bCs/>
                <w:sz w:val="22"/>
                <w:szCs w:val="22"/>
                <w:u w:val="single"/>
              </w:rPr>
              <w:t>CONFIDENTIAL</w:t>
            </w:r>
            <w:r>
              <w:rPr>
                <w:b/>
                <w:bCs/>
                <w:sz w:val="22"/>
                <w:szCs w:val="22"/>
              </w:rPr>
              <w:t xml:space="preserve"> CLIENTS – </w:t>
            </w:r>
            <w:r>
              <w:rPr>
                <w:sz w:val="22"/>
                <w:szCs w:val="22"/>
              </w:rPr>
              <w:t xml:space="preserve">List of this department's </w:t>
            </w:r>
            <w:r>
              <w:rPr>
                <w:sz w:val="22"/>
                <w:szCs w:val="22"/>
                <w:u w:val="single"/>
              </w:rPr>
              <w:t>CONFIDENTIAL</w:t>
            </w:r>
            <w:r>
              <w:rPr>
                <w:sz w:val="22"/>
                <w:szCs w:val="22"/>
              </w:rPr>
              <w:t xml:space="preserve"> clients. Please indicate whether a client is a new client (within the last 12 months). If this information is not known, leave the field blank.</w:t>
            </w:r>
          </w:p>
        </w:tc>
      </w:tr>
      <w:tr w:rsidR="00AB2803" w:rsidTr="005B6C3B">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shd w:val="clear" w:color="auto" w:fill="auto"/>
          </w:tcPr>
          <w:p w:rsidR="00AB2803" w:rsidRDefault="00AB2803" w:rsidP="00B9523C">
            <w:pPr>
              <w:keepNext/>
              <w:snapToGrid w:val="0"/>
              <w:spacing w:line="360" w:lineRule="auto"/>
              <w:jc w:val="center"/>
              <w:rPr>
                <w:b/>
                <w:bCs/>
              </w:rPr>
            </w:pPr>
          </w:p>
        </w:tc>
        <w:tc>
          <w:tcPr>
            <w:tcW w:w="6780" w:type="dxa"/>
            <w:tcBorders>
              <w:top w:val="single" w:sz="4" w:space="0" w:color="C0C0C0"/>
              <w:left w:val="single" w:sz="4" w:space="0" w:color="C0C0C0"/>
              <w:bottom w:val="single" w:sz="4" w:space="0" w:color="C0C0C0"/>
            </w:tcBorders>
            <w:shd w:val="clear" w:color="auto" w:fill="FFCCCC"/>
          </w:tcPr>
          <w:p w:rsidR="00AB2803" w:rsidRDefault="00AB2803" w:rsidP="00B9523C">
            <w:pPr>
              <w:keepNext/>
              <w:snapToGrid w:val="0"/>
              <w:spacing w:line="360" w:lineRule="auto"/>
              <w:jc w:val="center"/>
              <w:rPr>
                <w:b/>
              </w:rPr>
            </w:pPr>
            <w:r>
              <w:rPr>
                <w:b/>
              </w:rPr>
              <w:t>Name of Client</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AB2803" w:rsidRDefault="00AB2803" w:rsidP="00B9523C">
            <w:pPr>
              <w:keepNext/>
              <w:snapToGrid w:val="0"/>
              <w:spacing w:line="360" w:lineRule="auto"/>
              <w:jc w:val="center"/>
            </w:pPr>
            <w:r>
              <w:rPr>
                <w:b/>
              </w:rPr>
              <w:t>New Client (Y/N)</w:t>
            </w:r>
          </w:p>
        </w:tc>
      </w:tr>
      <w:tr w:rsidR="00083C2C" w:rsidTr="005B6C3B">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shd w:val="clear" w:color="auto" w:fill="auto"/>
          </w:tcPr>
          <w:p w:rsidR="00083C2C" w:rsidRDefault="00083C2C" w:rsidP="00083C2C">
            <w:pPr>
              <w:keepNext/>
              <w:snapToGrid w:val="0"/>
              <w:spacing w:line="360" w:lineRule="auto"/>
              <w:jc w:val="center"/>
              <w:rPr>
                <w:b/>
                <w:bCs/>
              </w:rPr>
            </w:pPr>
            <w:r>
              <w:t xml:space="preserve"/>
            </w:r>
            <w:r>
              <w:t xml:space="preserve">1</w:t>
            </w:r>
          </w:p>
        </w:tc>
        <w:tc>
          <w:tcPr>
            <w:tcW w:w="6780" w:type="dxa"/>
            <w:tcBorders>
              <w:top w:val="single" w:sz="4" w:space="0" w:color="C0C0C0"/>
              <w:left w:val="single" w:sz="4" w:space="0" w:color="C0C0C0"/>
              <w:bottom w:val="single" w:sz="4" w:space="0" w:color="C0C0C0"/>
            </w:tcBorders>
            <w:shd w:val="clear" w:color="auto" w:fill="FFCCCC"/>
          </w:tcPr>
          <w:p w:rsidR="00083C2C" w:rsidRDefault="00083C2C" w:rsidP="00083C2C">
            <w:pPr>
              <w:keepNext/>
              <w:snapToGrid w:val="0"/>
              <w:spacing w:line="360" w:lineRule="auto"/>
            </w:pPr>
            <w:r w:rsidRPr="005B6C3B">
              <w:t xml:space="preserve">Truelink Capital</w:t>
            </w:r>
            <w:bookmarkStart w:id="4" w:name="_GoBack"/>
            <w:bookmarkEnd w:id="4"/>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083C2C" w:rsidRDefault="00083C2C" w:rsidP="00083C2C">
            <w:pPr>
              <w:keepNext/>
              <w:snapToGrid w:val="0"/>
              <w:spacing w:line="360" w:lineRule="auto"/>
              <w:jc w:val="center"/>
            </w:pPr>
            <w:r w:rsidRPr="005B6C3B">
              <w:t xml:space="preserve">Yes </w:t>
            </w:r>
          </w:p>
        </w:tc>
      </w:tr>
      <w:tr w:rsidR="00083C2C" w:rsidTr="005B6C3B">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shd w:val="clear" w:color="auto" w:fill="auto"/>
          </w:tcPr>
          <w:p w:rsidR="00083C2C" w:rsidRDefault="00083C2C" w:rsidP="00083C2C">
            <w:pPr>
              <w:keepNext/>
              <w:snapToGrid w:val="0"/>
              <w:spacing w:line="360" w:lineRule="auto"/>
              <w:jc w:val="center"/>
            </w:pPr>
            <w:r>
              <w:t xml:space="preserve"/>
            </w:r>
            <w:r>
              <w:t xml:space="preserve">2</w:t>
            </w:r>
          </w:p>
        </w:tc>
        <w:tc>
          <w:tcPr>
            <w:tcW w:w="6780" w:type="dxa"/>
            <w:tcBorders>
              <w:top w:val="single" w:sz="4" w:space="0" w:color="C0C0C0"/>
              <w:left w:val="single" w:sz="4" w:space="0" w:color="C0C0C0"/>
              <w:bottom w:val="single" w:sz="4" w:space="0" w:color="C0C0C0"/>
            </w:tcBorders>
            <w:shd w:val="clear" w:color="auto" w:fill="FFCCCC"/>
          </w:tcPr>
          <w:p w:rsidR="00083C2C" w:rsidRDefault="00083C2C" w:rsidP="00083C2C">
            <w:pPr>
              <w:keepNext/>
              <w:snapToGrid w:val="0"/>
              <w:spacing w:line="360" w:lineRule="auto"/>
            </w:pPr>
            <w:r w:rsidRPr="005B6C3B">
              <w:t xml:space="preserve">Grupo Landsteiner Scientific</w:t>
            </w:r>
            <w:bookmarkStart w:id="4" w:name="_GoBack"/>
            <w:bookmarkEnd w:id="4"/>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083C2C" w:rsidRDefault="00083C2C" w:rsidP="00083C2C">
            <w:pPr>
              <w:keepNext/>
              <w:snapToGrid w:val="0"/>
              <w:spacing w:line="360" w:lineRule="auto"/>
              <w:jc w:val="center"/>
            </w:pPr>
            <w:r w:rsidRPr="005B6C3B">
              <w:t xml:space="preserve">No </w:t>
            </w:r>
          </w:p>
        </w:tc>
      </w:tr>
      <w:tr w:rsidR="00083C2C" w:rsidTr="005B6C3B">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shd w:val="clear" w:color="auto" w:fill="auto"/>
          </w:tcPr>
          <w:p w:rsidR="00083C2C" w:rsidRDefault="00083C2C" w:rsidP="00083C2C">
            <w:pPr>
              <w:keepNext/>
              <w:snapToGrid w:val="0"/>
              <w:spacing w:line="360" w:lineRule="auto"/>
              <w:jc w:val="center"/>
            </w:pPr>
            <w:r>
              <w:t xml:space="preserve"/>
            </w:r>
            <w:r>
              <w:t xml:space="preserve">3</w:t>
            </w:r>
          </w:p>
        </w:tc>
        <w:tc>
          <w:tcPr>
            <w:tcW w:w="6780" w:type="dxa"/>
            <w:tcBorders>
              <w:top w:val="single" w:sz="4" w:space="0" w:color="C0C0C0"/>
              <w:left w:val="single" w:sz="4" w:space="0" w:color="C0C0C0"/>
              <w:bottom w:val="single" w:sz="4" w:space="0" w:color="C0C0C0"/>
            </w:tcBorders>
            <w:shd w:val="clear" w:color="auto" w:fill="FFCCCC"/>
          </w:tcPr>
          <w:p w:rsidR="00083C2C" w:rsidRDefault="00083C2C" w:rsidP="00083C2C">
            <w:pPr>
              <w:keepNext/>
              <w:snapToGrid w:val="0"/>
              <w:spacing w:line="360" w:lineRule="auto"/>
            </w:pPr>
            <w:r w:rsidRPr="005B6C3B">
              <w:t xml:space="preserve">TMF Group</w:t>
            </w:r>
            <w:bookmarkStart w:id="4" w:name="_GoBack"/>
            <w:bookmarkEnd w:id="4"/>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083C2C" w:rsidRDefault="00083C2C" w:rsidP="00083C2C">
            <w:pPr>
              <w:keepNext/>
              <w:snapToGrid w:val="0"/>
              <w:spacing w:line="360" w:lineRule="auto"/>
              <w:jc w:val="center"/>
            </w:pPr>
            <w:r w:rsidRPr="005B6C3B">
              <w:t xml:space="preserve">No </w:t>
            </w:r>
          </w:p>
        </w:tc>
      </w:tr>
      <w:tr w:rsidR="00083C2C" w:rsidTr="005B6C3B">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shd w:val="clear" w:color="auto" w:fill="auto"/>
          </w:tcPr>
          <w:p w:rsidR="00083C2C" w:rsidRDefault="00083C2C" w:rsidP="00083C2C">
            <w:pPr>
              <w:keepNext/>
              <w:snapToGrid w:val="0"/>
              <w:spacing w:line="360" w:lineRule="auto"/>
              <w:jc w:val="center"/>
            </w:pPr>
            <w:r>
              <w:t xml:space="preserve"/>
            </w:r>
            <w:r>
              <w:t xml:space="preserve">4</w:t>
            </w:r>
          </w:p>
        </w:tc>
        <w:tc>
          <w:tcPr>
            <w:tcW w:w="6780" w:type="dxa"/>
            <w:tcBorders>
              <w:top w:val="single" w:sz="4" w:space="0" w:color="C0C0C0"/>
              <w:left w:val="single" w:sz="4" w:space="0" w:color="C0C0C0"/>
              <w:bottom w:val="single" w:sz="4" w:space="0" w:color="C0C0C0"/>
            </w:tcBorders>
            <w:shd w:val="clear" w:color="auto" w:fill="FFCCCC"/>
          </w:tcPr>
          <w:p w:rsidR="00083C2C" w:rsidRDefault="00083C2C" w:rsidP="00083C2C">
            <w:pPr>
              <w:keepNext/>
              <w:snapToGrid w:val="0"/>
              <w:spacing w:line="360" w:lineRule="auto"/>
            </w:pPr>
            <w:r w:rsidRPr="005B6C3B">
              <w:t xml:space="preserve">Creare Ventures</w:t>
            </w:r>
            <w:bookmarkStart w:id="4" w:name="_GoBack"/>
            <w:bookmarkEnd w:id="4"/>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083C2C" w:rsidRDefault="00083C2C" w:rsidP="00083C2C">
            <w:pPr>
              <w:keepNext/>
              <w:snapToGrid w:val="0"/>
              <w:spacing w:line="360" w:lineRule="auto"/>
              <w:jc w:val="center"/>
            </w:pPr>
            <w:r w:rsidRPr="005B6C3B">
              <w:t xml:space="preserve">No </w:t>
            </w:r>
          </w:p>
        </w:tc>
      </w:tr>
      <w:tr w:rsidR="00083C2C" w:rsidTr="005B6C3B">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shd w:val="clear" w:color="auto" w:fill="auto"/>
          </w:tcPr>
          <w:p w:rsidR="00083C2C" w:rsidRDefault="00083C2C" w:rsidP="00083C2C">
            <w:pPr>
              <w:keepNext/>
              <w:snapToGrid w:val="0"/>
              <w:spacing w:line="360" w:lineRule="auto"/>
              <w:jc w:val="center"/>
            </w:pPr>
            <w:r>
              <w:t xml:space="preserve"/>
            </w:r>
            <w:r>
              <w:t xml:space="preserve">5</w:t>
            </w:r>
          </w:p>
        </w:tc>
        <w:tc>
          <w:tcPr>
            <w:tcW w:w="6780" w:type="dxa"/>
            <w:tcBorders>
              <w:top w:val="single" w:sz="4" w:space="0" w:color="C0C0C0"/>
              <w:left w:val="single" w:sz="4" w:space="0" w:color="C0C0C0"/>
              <w:bottom w:val="single" w:sz="4" w:space="0" w:color="C0C0C0"/>
            </w:tcBorders>
            <w:shd w:val="clear" w:color="auto" w:fill="FFCCCC"/>
          </w:tcPr>
          <w:p w:rsidR="00083C2C" w:rsidRDefault="00083C2C" w:rsidP="00083C2C">
            <w:pPr>
              <w:keepNext/>
              <w:snapToGrid w:val="0"/>
              <w:spacing w:line="360" w:lineRule="auto"/>
            </w:pPr>
            <w:r w:rsidRPr="005B6C3B">
              <w:t xml:space="preserve">BlueOrchard Microfinance Fund</w:t>
            </w:r>
            <w:bookmarkStart w:id="4" w:name="_GoBack"/>
            <w:bookmarkEnd w:id="4"/>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083C2C" w:rsidRDefault="00083C2C" w:rsidP="00083C2C">
            <w:pPr>
              <w:keepNext/>
              <w:snapToGrid w:val="0"/>
              <w:spacing w:line="360" w:lineRule="auto"/>
              <w:jc w:val="center"/>
            </w:pPr>
            <w:r w:rsidRPr="005B6C3B">
              <w:t xml:space="preserve">No </w:t>
            </w:r>
          </w:p>
        </w:tc>
      </w:tr>
      <w:tr w:rsidR="00083C2C" w:rsidTr="005B6C3B">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shd w:val="clear" w:color="auto" w:fill="auto"/>
          </w:tcPr>
          <w:p w:rsidR="00083C2C" w:rsidRDefault="00083C2C" w:rsidP="00083C2C">
            <w:pPr>
              <w:keepNext/>
              <w:snapToGrid w:val="0"/>
              <w:spacing w:line="360" w:lineRule="auto"/>
              <w:jc w:val="center"/>
            </w:pPr>
            <w:r>
              <w:t xml:space="preserve"/>
            </w:r>
            <w:r>
              <w:t xml:space="preserve">6</w:t>
            </w:r>
          </w:p>
        </w:tc>
        <w:tc>
          <w:tcPr>
            <w:tcW w:w="6780" w:type="dxa"/>
            <w:tcBorders>
              <w:top w:val="single" w:sz="4" w:space="0" w:color="C0C0C0"/>
              <w:left w:val="single" w:sz="4" w:space="0" w:color="C0C0C0"/>
              <w:bottom w:val="single" w:sz="4" w:space="0" w:color="C0C0C0"/>
            </w:tcBorders>
            <w:shd w:val="clear" w:color="auto" w:fill="FFCCCC"/>
          </w:tcPr>
          <w:p w:rsidR="00083C2C" w:rsidRDefault="00083C2C" w:rsidP="00083C2C">
            <w:pPr>
              <w:keepNext/>
              <w:snapToGrid w:val="0"/>
              <w:spacing w:line="360" w:lineRule="auto"/>
            </w:pPr>
            <w:r w:rsidRPr="005B6C3B">
              <w:t xml:space="preserve">Syniverse Technologies</w:t>
            </w:r>
            <w:bookmarkStart w:id="4" w:name="_GoBack"/>
            <w:bookmarkEnd w:id="4"/>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083C2C" w:rsidRDefault="00083C2C" w:rsidP="00083C2C">
            <w:pPr>
              <w:keepNext/>
              <w:snapToGrid w:val="0"/>
              <w:spacing w:line="360" w:lineRule="auto"/>
              <w:jc w:val="center"/>
            </w:pPr>
            <w:r w:rsidRPr="005B6C3B">
              <w:t xml:space="preserve">No </w:t>
            </w:r>
          </w:p>
        </w:tc>
      </w:tr>
      <w:tr w:rsidR="00083C2C" w:rsidTr="005B6C3B">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shd w:val="clear" w:color="auto" w:fill="auto"/>
          </w:tcPr>
          <w:p w:rsidR="00083C2C" w:rsidRDefault="00083C2C" w:rsidP="00083C2C">
            <w:pPr>
              <w:keepNext/>
              <w:snapToGrid w:val="0"/>
              <w:spacing w:line="360" w:lineRule="auto"/>
              <w:jc w:val="center"/>
            </w:pPr>
            <w:r>
              <w:t xml:space="preserve"/>
            </w:r>
            <w:r>
              <w:t xml:space="preserve">7</w:t>
            </w:r>
          </w:p>
        </w:tc>
        <w:tc>
          <w:tcPr>
            <w:tcW w:w="6780" w:type="dxa"/>
            <w:tcBorders>
              <w:top w:val="single" w:sz="4" w:space="0" w:color="C0C0C0"/>
              <w:left w:val="single" w:sz="4" w:space="0" w:color="C0C0C0"/>
              <w:bottom w:val="single" w:sz="4" w:space="0" w:color="C0C0C0"/>
            </w:tcBorders>
            <w:shd w:val="clear" w:color="auto" w:fill="FFCCCC"/>
          </w:tcPr>
          <w:p w:rsidR="00083C2C" w:rsidRDefault="00083C2C" w:rsidP="00083C2C">
            <w:pPr>
              <w:keepNext/>
              <w:snapToGrid w:val="0"/>
              <w:spacing w:line="360" w:lineRule="auto"/>
            </w:pPr>
            <w:r w:rsidRPr="005B6C3B">
              <w:t xml:space="preserve">Webhelp S.A.S</w:t>
            </w:r>
            <w:bookmarkStart w:id="4" w:name="_GoBack"/>
            <w:bookmarkEnd w:id="4"/>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083C2C" w:rsidRDefault="00083C2C" w:rsidP="00083C2C">
            <w:pPr>
              <w:keepNext/>
              <w:snapToGrid w:val="0"/>
              <w:spacing w:line="360" w:lineRule="auto"/>
              <w:jc w:val="center"/>
            </w:pPr>
            <w:r w:rsidRPr="005B6C3B">
              <w:t xml:space="preserve">No </w:t>
            </w:r>
          </w:p>
        </w:tc>
      </w:tr>
      <w:tr w:rsidR="00083C2C" w:rsidTr="005B6C3B">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shd w:val="clear" w:color="auto" w:fill="auto"/>
          </w:tcPr>
          <w:p w:rsidR="00083C2C" w:rsidRDefault="00083C2C" w:rsidP="00083C2C">
            <w:pPr>
              <w:keepNext/>
              <w:snapToGrid w:val="0"/>
              <w:spacing w:line="360" w:lineRule="auto"/>
              <w:jc w:val="center"/>
            </w:pPr>
            <w:r>
              <w:t xml:space="preserve"/>
            </w:r>
            <w:r>
              <w:t xml:space="preserve">8</w:t>
            </w:r>
          </w:p>
        </w:tc>
        <w:tc>
          <w:tcPr>
            <w:tcW w:w="6780" w:type="dxa"/>
            <w:tcBorders>
              <w:top w:val="single" w:sz="4" w:space="0" w:color="C0C0C0"/>
              <w:left w:val="single" w:sz="4" w:space="0" w:color="C0C0C0"/>
              <w:bottom w:val="single" w:sz="4" w:space="0" w:color="C0C0C0"/>
            </w:tcBorders>
            <w:shd w:val="clear" w:color="auto" w:fill="FFCCCC"/>
          </w:tcPr>
          <w:p w:rsidR="00083C2C" w:rsidRDefault="00083C2C" w:rsidP="00083C2C">
            <w:pPr>
              <w:keepNext/>
              <w:snapToGrid w:val="0"/>
              <w:spacing w:line="360" w:lineRule="auto"/>
            </w:pPr>
            <w:r w:rsidRPr="005B6C3B">
              <w:t xml:space="preserve">SMBC, S.A.P.I. de C.V., SOFOM, E.N.R</w:t>
            </w:r>
            <w:bookmarkStart w:id="4" w:name="_GoBack"/>
            <w:bookmarkEnd w:id="4"/>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083C2C" w:rsidRDefault="00083C2C" w:rsidP="00083C2C">
            <w:pPr>
              <w:keepNext/>
              <w:snapToGrid w:val="0"/>
              <w:spacing w:line="360" w:lineRule="auto"/>
              <w:jc w:val="center"/>
            </w:pPr>
            <w:r w:rsidRPr="005B6C3B">
              <w:t xml:space="preserve">No </w:t>
            </w:r>
          </w:p>
        </w:tc>
      </w:tr>
      <w:tr w:rsidR="00083C2C" w:rsidTr="005B6C3B">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shd w:val="clear" w:color="auto" w:fill="auto"/>
          </w:tcPr>
          <w:p w:rsidR="00083C2C" w:rsidRDefault="00083C2C" w:rsidP="00083C2C">
            <w:pPr>
              <w:keepNext/>
              <w:snapToGrid w:val="0"/>
              <w:spacing w:line="360" w:lineRule="auto"/>
              <w:jc w:val="center"/>
            </w:pPr>
            <w:r>
              <w:t xml:space="preserve"/>
            </w:r>
            <w:r>
              <w:t xml:space="preserve">9</w:t>
            </w:r>
          </w:p>
        </w:tc>
        <w:tc>
          <w:tcPr>
            <w:tcW w:w="6780" w:type="dxa"/>
            <w:tcBorders>
              <w:top w:val="single" w:sz="4" w:space="0" w:color="C0C0C0"/>
              <w:left w:val="single" w:sz="4" w:space="0" w:color="C0C0C0"/>
              <w:bottom w:val="single" w:sz="4" w:space="0" w:color="C0C0C0"/>
            </w:tcBorders>
            <w:shd w:val="clear" w:color="auto" w:fill="FFCCCC"/>
          </w:tcPr>
          <w:p w:rsidR="00083C2C" w:rsidRDefault="00083C2C" w:rsidP="00083C2C">
            <w:pPr>
              <w:keepNext/>
              <w:snapToGrid w:val="0"/>
              <w:spacing w:line="360" w:lineRule="auto"/>
            </w:pPr>
            <w:r w:rsidRPr="005B6C3B">
              <w:t xml:space="preserve">BMO Bank, N.A. (“BMO”)</w:t>
            </w:r>
            <w:bookmarkStart w:id="4" w:name="_GoBack"/>
            <w:bookmarkEnd w:id="4"/>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083C2C" w:rsidRDefault="00083C2C" w:rsidP="00083C2C">
            <w:pPr>
              <w:keepNext/>
              <w:snapToGrid w:val="0"/>
              <w:spacing w:line="360" w:lineRule="auto"/>
              <w:jc w:val="center"/>
            </w:pPr>
            <w:r w:rsidRPr="005B6C3B">
              <w:t xml:space="preserve">No </w:t>
            </w:r>
          </w:p>
        </w:tc>
      </w:tr>
      <w:tr w:rsidR="00083C2C" w:rsidTr="005B6C3B">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shd w:val="clear" w:color="auto" w:fill="auto"/>
          </w:tcPr>
          <w:p w:rsidR="00083C2C" w:rsidRDefault="00083C2C" w:rsidP="00083C2C">
            <w:pPr>
              <w:keepNext/>
              <w:snapToGrid w:val="0"/>
              <w:spacing w:line="360" w:lineRule="auto"/>
              <w:jc w:val="center"/>
            </w:pPr>
            <w:r>
              <w:t xml:space="preserve"/>
            </w:r>
            <w:r>
              <w:t xml:space="preserve">10</w:t>
            </w:r>
          </w:p>
        </w:tc>
        <w:tc>
          <w:tcPr>
            <w:tcW w:w="6780" w:type="dxa"/>
            <w:tcBorders>
              <w:top w:val="single" w:sz="4" w:space="0" w:color="C0C0C0"/>
              <w:left w:val="single" w:sz="4" w:space="0" w:color="C0C0C0"/>
              <w:bottom w:val="single" w:sz="4" w:space="0" w:color="C0C0C0"/>
            </w:tcBorders>
            <w:shd w:val="clear" w:color="auto" w:fill="FFCCCC"/>
          </w:tcPr>
          <w:p w:rsidR="00083C2C" w:rsidRDefault="00083C2C" w:rsidP="00083C2C">
            <w:pPr>
              <w:keepNext/>
              <w:snapToGrid w:val="0"/>
              <w:spacing w:line="360" w:lineRule="auto"/>
            </w:pPr>
            <w:r w:rsidRPr="005B6C3B">
              <w:t xml:space="preserve">Banco Interamericano de Desarrollo</w:t>
            </w:r>
            <w:bookmarkStart w:id="4" w:name="_GoBack"/>
            <w:bookmarkEnd w:id="4"/>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083C2C" w:rsidRDefault="00083C2C" w:rsidP="00083C2C">
            <w:pPr>
              <w:keepNext/>
              <w:snapToGrid w:val="0"/>
              <w:spacing w:line="360" w:lineRule="auto"/>
              <w:jc w:val="center"/>
            </w:pPr>
            <w:r w:rsidRPr="005B6C3B">
              <w:t xml:space="preserve">Yes </w:t>
            </w:r>
          </w:p>
        </w:tc>
      </w:tr>
      <w:tr w:rsidR="00083C2C" w:rsidTr="005B6C3B">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shd w:val="clear" w:color="auto" w:fill="auto"/>
          </w:tcPr>
          <w:p w:rsidR="00083C2C" w:rsidRDefault="00083C2C" w:rsidP="00083C2C">
            <w:pPr>
              <w:keepNext/>
              <w:snapToGrid w:val="0"/>
              <w:spacing w:line="360" w:lineRule="auto"/>
              <w:jc w:val="center"/>
            </w:pPr>
            <w:r>
              <w:t xml:space="preserve"/>
            </w:r>
            <w:r>
              <w:t xml:space="preserve">11</w:t>
            </w:r>
          </w:p>
        </w:tc>
        <w:tc>
          <w:tcPr>
            <w:tcW w:w="6780" w:type="dxa"/>
            <w:tcBorders>
              <w:top w:val="single" w:sz="4" w:space="0" w:color="C0C0C0"/>
              <w:left w:val="single" w:sz="4" w:space="0" w:color="C0C0C0"/>
              <w:bottom w:val="single" w:sz="4" w:space="0" w:color="C0C0C0"/>
            </w:tcBorders>
            <w:shd w:val="clear" w:color="auto" w:fill="FFCCCC"/>
          </w:tcPr>
          <w:p w:rsidR="00083C2C" w:rsidRDefault="00083C2C" w:rsidP="00083C2C">
            <w:pPr>
              <w:keepNext/>
              <w:snapToGrid w:val="0"/>
              <w:spacing w:line="360" w:lineRule="auto"/>
            </w:pPr>
            <w:r w:rsidRPr="005B6C3B">
              <w:t xml:space="preserve">Elevva LLC</w:t>
            </w:r>
            <w:bookmarkStart w:id="4" w:name="_GoBack"/>
            <w:bookmarkEnd w:id="4"/>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083C2C" w:rsidRDefault="00083C2C" w:rsidP="00083C2C">
            <w:pPr>
              <w:keepNext/>
              <w:snapToGrid w:val="0"/>
              <w:spacing w:line="360" w:lineRule="auto"/>
              <w:jc w:val="center"/>
            </w:pPr>
            <w:r w:rsidRPr="005B6C3B">
              <w:t xml:space="preserve">Yes </w:t>
            </w:r>
          </w:p>
        </w:tc>
      </w:tr>
      <w:tr w:rsidR="00083C2C" w:rsidTr="005B6C3B">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shd w:val="clear" w:color="auto" w:fill="auto"/>
          </w:tcPr>
          <w:p w:rsidR="00083C2C" w:rsidRDefault="00083C2C" w:rsidP="00083C2C">
            <w:pPr>
              <w:keepNext/>
              <w:snapToGrid w:val="0"/>
              <w:spacing w:line="360" w:lineRule="auto"/>
              <w:jc w:val="center"/>
            </w:pPr>
            <w:r>
              <w:t xml:space="preserve"/>
            </w:r>
            <w:r>
              <w:t xml:space="preserve">12</w:t>
            </w:r>
          </w:p>
        </w:tc>
        <w:tc>
          <w:tcPr>
            <w:tcW w:w="6780" w:type="dxa"/>
            <w:tcBorders>
              <w:top w:val="single" w:sz="4" w:space="0" w:color="C0C0C0"/>
              <w:left w:val="single" w:sz="4" w:space="0" w:color="C0C0C0"/>
              <w:bottom w:val="single" w:sz="4" w:space="0" w:color="C0C0C0"/>
            </w:tcBorders>
            <w:shd w:val="clear" w:color="auto" w:fill="FFCCCC"/>
          </w:tcPr>
          <w:p w:rsidR="00083C2C" w:rsidRDefault="00083C2C" w:rsidP="00083C2C">
            <w:pPr>
              <w:keepNext/>
              <w:snapToGrid w:val="0"/>
              <w:spacing w:line="360" w:lineRule="auto"/>
            </w:pPr>
            <w:r w:rsidRPr="005B6C3B">
              <w:t xml:space="preserve">Stereo Rey México</w:t>
            </w:r>
            <w:bookmarkStart w:id="4" w:name="_GoBack"/>
            <w:bookmarkEnd w:id="4"/>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083C2C" w:rsidRDefault="00083C2C" w:rsidP="00083C2C">
            <w:pPr>
              <w:keepNext/>
              <w:snapToGrid w:val="0"/>
              <w:spacing w:line="360" w:lineRule="auto"/>
              <w:jc w:val="center"/>
            </w:pPr>
            <w:r w:rsidRPr="005B6C3B">
              <w:t xml:space="preserve">Yes </w:t>
            </w:r>
          </w:p>
        </w:tc>
      </w:tr>
      <w:tr w:rsidR="00083C2C" w:rsidTr="005B6C3B">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shd w:val="clear" w:color="auto" w:fill="auto"/>
          </w:tcPr>
          <w:p w:rsidR="00083C2C" w:rsidRDefault="00083C2C" w:rsidP="00083C2C">
            <w:pPr>
              <w:keepNext/>
              <w:snapToGrid w:val="0"/>
              <w:spacing w:line="360" w:lineRule="auto"/>
              <w:jc w:val="center"/>
            </w:pPr>
            <w:r>
              <w:t xml:space="preserve"/>
            </w:r>
            <w:r>
              <w:t xml:space="preserve">13</w:t>
            </w:r>
          </w:p>
        </w:tc>
        <w:tc>
          <w:tcPr>
            <w:tcW w:w="6780" w:type="dxa"/>
            <w:tcBorders>
              <w:top w:val="single" w:sz="4" w:space="0" w:color="C0C0C0"/>
              <w:left w:val="single" w:sz="4" w:space="0" w:color="C0C0C0"/>
              <w:bottom w:val="single" w:sz="4" w:space="0" w:color="C0C0C0"/>
            </w:tcBorders>
            <w:shd w:val="clear" w:color="auto" w:fill="FFCCCC"/>
          </w:tcPr>
          <w:p w:rsidR="00083C2C" w:rsidRDefault="00083C2C" w:rsidP="00083C2C">
            <w:pPr>
              <w:keepNext/>
              <w:snapToGrid w:val="0"/>
              <w:spacing w:line="360" w:lineRule="auto"/>
            </w:pPr>
            <w:r w:rsidRPr="005B6C3B">
              <w:t xml:space="preserve">Grupo Concord</w:t>
            </w:r>
            <w:bookmarkStart w:id="4" w:name="_GoBack"/>
            <w:bookmarkEnd w:id="4"/>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083C2C" w:rsidRDefault="00083C2C" w:rsidP="00083C2C">
            <w:pPr>
              <w:keepNext/>
              <w:snapToGrid w:val="0"/>
              <w:spacing w:line="360" w:lineRule="auto"/>
              <w:jc w:val="center"/>
            </w:pPr>
            <w:r w:rsidRPr="005B6C3B">
              <w:t xml:space="preserve">Yes </w:t>
            </w:r>
          </w:p>
        </w:tc>
      </w:tr>
      <w:tr w:rsidR="00083C2C" w:rsidTr="005B6C3B">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shd w:val="clear" w:color="auto" w:fill="auto"/>
          </w:tcPr>
          <w:p w:rsidR="00083C2C" w:rsidRDefault="00083C2C" w:rsidP="00083C2C">
            <w:pPr>
              <w:keepNext/>
              <w:snapToGrid w:val="0"/>
              <w:spacing w:line="360" w:lineRule="auto"/>
              <w:jc w:val="center"/>
            </w:pPr>
            <w:r>
              <w:t xml:space="preserve"/>
            </w:r>
          </w:p>
        </w:tc>
        <w:tc>
          <w:tcPr>
            <w:tcW w:w="6780" w:type="dxa"/>
            <w:tcBorders>
              <w:top w:val="single" w:sz="4" w:space="0" w:color="C0C0C0"/>
              <w:left w:val="single" w:sz="4" w:space="0" w:color="C0C0C0"/>
              <w:bottom w:val="single" w:sz="4" w:space="0" w:color="C0C0C0"/>
            </w:tcBorders>
            <w:shd w:val="clear" w:color="auto" w:fill="FFCCCC"/>
          </w:tcPr>
          <w:p w:rsidR="00083C2C" w:rsidRPr="005B6C3B" w:rsidRDefault="00083C2C" w:rsidP="00083C2C">
            <w:pPr>
              <w:keepNext/>
              <w:snapToGrid w:val="0"/>
              <w:spacing w:line="360" w:lineRule="auto"/>
            </w:pP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083C2C" w:rsidRPr="005B6C3B" w:rsidRDefault="00083C2C" w:rsidP="00083C2C">
            <w:pPr>
              <w:keepNext/>
              <w:snapToGrid w:val="0"/>
              <w:spacing w:line="360" w:lineRule="auto"/>
              <w:jc w:val="center"/>
            </w:pPr>
          </w:p>
        </w:tc>
      </w:tr>
    </w:tbl>
    <w:p w:rsidR="00AB2803" w:rsidRDefault="00AB2803" w:rsidP="00AB2803">
      <w:pPr>
        <w:pStyle w:val="InterTableSpacer"/>
        <w:keepNext/>
        <w:jc w:val="right"/>
        <w:rPr>
          <w:b/>
          <w:bCs/>
          <w:u w:val="single"/>
        </w:rPr>
      </w:pPr>
    </w:p>
    <w:p w:rsidR="00FE41F1" w:rsidRDefault="00FE41F1">
      <w:pPr>
        <w:widowControl/>
        <w:suppressAutoHyphens w:val="0"/>
        <w:rPr>
          <w:b/>
          <w:bCs/>
          <w:sz w:val="26"/>
          <w:szCs w:val="26"/>
        </w:rPr>
      </w:pPr>
      <w:r>
        <w:rPr>
          <w:b/>
          <w:bCs/>
          <w:sz w:val="26"/>
          <w:szCs w:val="26"/>
        </w:rPr>
        <w:br w:type="page"/>
      </w:r>
    </w:p>
    <w:tbl>
      <w:tblPr>
        <w:tblpPr w:leftFromText="180" w:rightFromText="180" w:vertAnchor="text" w:horzAnchor="margin" w:tblpY="-27"/>
        <w:tblW w:w="9679" w:type="dxa"/>
        <w:tblLayout w:type="fixed"/>
        <w:tblCellMar>
          <w:left w:w="0" w:type="dxa"/>
          <w:right w:w="0" w:type="dxa"/>
        </w:tblCellMar>
        <w:tblLook w:val="0000" w:firstRow="0" w:lastRow="0" w:firstColumn="0" w:lastColumn="0" w:noHBand="0" w:noVBand="0"/>
      </w:tblPr>
      <w:tblGrid>
        <w:gridCol w:w="9639"/>
        <w:gridCol w:w="40"/>
      </w:tblGrid>
      <w:tr w:rsidR="00FE41F1" w:rsidTr="00FE41F1">
        <w:trPr>
          <w:trHeight w:val="345"/>
        </w:trPr>
        <w:tc>
          <w:tcPr>
            <w:tcW w:w="9639" w:type="dxa"/>
            <w:shd w:val="clear" w:color="auto" w:fill="FFFFFF"/>
          </w:tcPr>
          <w:p w:rsidR="00FE41F1" w:rsidRPr="00FE41F1" w:rsidRDefault="00FE41F1" w:rsidP="00FE41F1">
            <w:pPr>
              <w:shd w:val="clear" w:color="auto" w:fill="FFFFFF"/>
              <w:snapToGrid w:val="0"/>
              <w:spacing w:line="360" w:lineRule="auto"/>
              <w:rPr>
                <w:b/>
                <w:bCs/>
                <w:sz w:val="26"/>
                <w:szCs w:val="26"/>
              </w:rPr>
            </w:pPr>
            <w:r>
              <w:rPr>
                <w:b/>
                <w:bCs/>
                <w:sz w:val="26"/>
                <w:szCs w:val="26"/>
              </w:rPr>
              <w:lastRenderedPageBreak/>
              <w:t xml:space="preserve">Confidential Work Highlights in last 12 months </w:t>
            </w:r>
          </w:p>
        </w:tc>
        <w:tc>
          <w:tcPr>
            <w:tcW w:w="40" w:type="dxa"/>
            <w:shd w:val="clear" w:color="auto" w:fill="auto"/>
          </w:tcPr>
          <w:p w:rsidR="00FE41F1" w:rsidRDefault="00FE41F1" w:rsidP="00FE41F1">
            <w:pPr>
              <w:snapToGrid w:val="0"/>
            </w:pPr>
          </w:p>
        </w:tc>
      </w:tr>
      <w:tr w:rsidR="00FE41F1" w:rsidTr="00FE41F1">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FE41F1" w:rsidRDefault="00FE41F1" w:rsidP="00FE41F1">
            <w:pPr>
              <w:snapToGrid w:val="0"/>
              <w:spacing w:line="360" w:lineRule="auto"/>
              <w:jc w:val="center"/>
            </w:pPr>
            <w:r>
              <w:rPr>
                <w:b/>
                <w:bCs/>
                <w:sz w:val="28"/>
                <w:szCs w:val="28"/>
              </w:rPr>
              <w:t xml:space="preserve">Confidential Matter </w:t>
            </w:r>
            <w:r w:rsidRPr="000345C4">
              <w:rPr>
                <w:b/>
                <w:bCs/>
                <w:sz w:val="28"/>
                <w:szCs w:val="28"/>
              </w:rPr>
              <w:t xml:space="preserve">1</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E1 </w:t>
            </w:r>
            <w:r>
              <w:rPr>
                <w:sz w:val="22"/>
                <w:szCs w:val="22"/>
              </w:rPr>
              <w:t>Name of client (for ranking purposes only)</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hd w:val="clear" w:color="auto" w:fill="FFCCCC"/>
              <w:snapToGrid w:val="0"/>
              <w:rPr>
                <w:sz w:val="22"/>
                <w:szCs w:val="22"/>
              </w:rPr>
            </w:pPr>
            <w:r w:rsidRPr="000345C4">
              <w:rPr>
                <w:sz w:val="22"/>
                <w:szCs w:val="22"/>
              </w:rPr>
              <w:t xml:space="preserve">SMBC, S.A.P.I. de C.V., SOFOM, E.N.R. (“SMBC”)</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FE41F1" w:rsidTr="00FE41F1">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rPr>
                    <w:color w:val="FF0000"/>
                  </w:rPr>
                  <w:t xml:space="preserve">[CONFIDENTIAL] PCG advised </w:t>
                </w:r>
                <w:r>
                  <w:rPr>
                    <w:color w:val="FF0000"/>
                    <w:b/>
                  </w:rPr>
                  <w:t xml:space="preserve">SMBC</w:t>
                </w:r>
                <w:r>
                  <w:rPr>
                    <w:color w:val="FF0000"/>
                  </w:rPr>
                  <w:t xml:space="preserve"> on the negotiations and structuring of a </w:t>
                </w:r>
                <w:r>
                  <w:rPr>
                    <w:color w:val="FF0000"/>
                    <w:b/>
                  </w:rPr>
                  <w:t xml:space="preserve">Mexican law</w:t>
                </w:r>
                <w:r>
                  <w:rPr>
                    <w:color w:val="FF0000"/>
                  </w:rPr>
                  <w:t xml:space="preserve">-governed credit facility granted by </w:t>
                </w:r>
                <w:r>
                  <w:rPr>
                    <w:color w:val="FF0000"/>
                    <w:b/>
                  </w:rPr>
                  <w:t xml:space="preserve">Banco Nacional de Obras y Servicios Públicos, Sociedad Nacional de Crédito, Institución de Banca de Desarrollo</w:t>
                </w:r>
                <w:r>
                  <w:rPr>
                    <w:color w:val="FF0000"/>
                  </w:rPr>
                  <w:t xml:space="preserve"> as lender, together with the related collateral documentation. The facility had a value of </w:t>
                </w:r>
                <w:r>
                  <w:rPr>
                    <w:color w:val="FF0000"/>
                    <w:b/>
                  </w:rPr>
                  <w:t xml:space="preserve">USD 850 million</w:t>
                </w:r>
                <w:r>
                  <w:rPr>
                    <w:color w:val="FF0000"/>
                  </w:rPr>
                  <w:t xml:space="preserve"> and was structured to support </w:t>
                </w:r>
                <w:r>
                  <w:rPr>
                    <w:color w:val="FF0000"/>
                    <w:b/>
                  </w:rPr>
                  <w:t xml:space="preserve">SMBC</w:t>
                </w:r>
                <w:r>
                  <w:rPr>
                    <w:color w:val="FF0000"/>
                  </w:rPr>
                  <w:t xml:space="preserve"> through a development bank financing platform in Mexico. PCG handled the negotiation of the facility terms, coordinated the collateral package and ensured the documentation was aligned with the relevant </w:t>
                </w:r>
                <w:r>
                  <w:rPr>
                    <w:color w:val="FF0000"/>
                    <w:b/>
                  </w:rPr>
                  <w:t xml:space="preserve">Mexican law</w:t>
                </w:r>
                <w:r>
                  <w:rPr>
                    <w:color w:val="FF0000"/>
                  </w:rPr>
                  <w:t xml:space="preserve"> and regulatory requirements.</w:t>
                </w:r>
              </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E3 </w:t>
            </w:r>
            <w:r>
              <w:rPr>
                <w:sz w:val="22"/>
                <w:szCs w:val="22"/>
              </w:rPr>
              <w:t>Matter value – include currency and amount in figures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USD 850 million</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E5 </w:t>
            </w:r>
            <w:r>
              <w:rPr>
                <w:sz w:val="22"/>
                <w:szCs w:val="22"/>
              </w:rPr>
              <w:t>Lead partner</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E6 </w:t>
            </w:r>
            <w:r>
              <w:rPr>
                <w:sz w:val="22"/>
                <w:szCs w:val="22"/>
              </w:rPr>
              <w:t>Other team members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Eduardo Yrigoyen</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E7 </w:t>
            </w:r>
            <w:r>
              <w:rPr>
                <w:sz w:val="22"/>
                <w:szCs w:val="22"/>
              </w:rPr>
              <w:t>Other firms advising on the matter and their role(s)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iCs/>
                <w:sz w:val="14"/>
                <w:szCs w:val="14"/>
              </w:rPr>
              <w:t xml:space="preserve">E8 </w:t>
            </w:r>
            <w:r>
              <w:rPr>
                <w:iCs/>
                <w:sz w:val="22"/>
                <w:szCs w:val="22"/>
              </w:rPr>
              <w:t>Date of completion or current status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E9 </w:t>
            </w:r>
            <w:r>
              <w:rPr>
                <w:sz w:val="22"/>
                <w:szCs w:val="22"/>
              </w:rPr>
              <w:t>Other information about this matter – e.g. link to press coverage</w:t>
            </w:r>
          </w:p>
        </w:tc>
      </w:tr>
      <w:tr w:rsidR="00FE41F1" w:rsidTr="00FE41F1">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bCs/>
                <w:sz w:val="22"/>
                <w:szCs w:val="22"/>
              </w:rPr>
            </w:pPr>
            <w:r w:rsidRPr="000345C4">
              <w:rPr>
                <w:sz w:val="22"/>
                <w:szCs w:val="22"/>
              </w:rPr>
              <w:t xml:space="preserve"/>
            </w:r>
          </w:p>
        </w:tc>
      </w:tr>
    </w:tbl>
    <w:p w:rsidR="00FE41F1" w:rsidRPr="00FE41F1" w:rsidRDefault="00FE41F1" w:rsidP="00FE41F1">
      <w:pPr>
        <w:rPr>
          <w:b/>
          <w:bCs/>
          <w:sz w:val="26"/>
          <w:szCs w:val="26"/>
        </w:rPr>
      </w:pPr>
    </w:p>
    <w:p w:rsidR="00AB2803" w:rsidRDefault="00AB2803" w:rsidP="00AB2803">
      <w:pPr>
        <w:keepNext/>
        <w:jc w:val="center"/>
        <w:rPr>
          <w:b/>
          <w:bCs/>
          <w:u w:val="single"/>
        </w:rPr>
      </w:pPr>
      <w:r>
        <w:rPr>
          <w:b/>
          <w:bCs/>
          <w:u w:val="single"/>
        </w:rPr>
        <w:t xml:space="preserve">IMPORTANT: Please do not exceed one page per deal.</w:t>
      </w:r>
    </w:p>
    <w:p w:rsidR="00FE41F1" w:rsidRDefault="00FE41F1" w:rsidP="00FE41F1">
      <w:pPr>
        <w:keepNext/>
        <w:rPr>
          <w:b/>
          <w:bCs/>
          <w:u w:val="single"/>
        </w:rPr>
      </w:pPr>
    </w:p>
    <w:p w:rsidR="00B9523C" w:rsidRDefault="00B9523C" w:rsidP="00B11E3F">
      <w:pPr>
        <w:keepNext/>
        <w:rPr>
          <w:b/>
          <w:bCs/>
          <w:u w:val="single"/>
        </w:rPr>
      </w:pPr>
    </w:p>
    <w:p w:rsidR="00FE41F1" w:rsidRDefault="00FE41F1">
      <w:pPr>
        <w:widowControl/>
        <w:suppressAutoHyphens w:val="0"/>
        <w:rPr>
          <w:b/>
          <w:bCs/>
          <w:sz w:val="26"/>
          <w:szCs w:val="26"/>
        </w:rPr>
      </w:pPr>
      <w:r>
        <w:rPr>
          <w:b/>
          <w:bCs/>
          <w:sz w:val="26"/>
          <w:szCs w:val="26"/>
        </w:rPr>
        <w:br w:type="page"/>
      </w:r>
    </w:p>
    <w:tbl>
      <w:tblPr>
        <w:tblpPr w:leftFromText="180" w:rightFromText="180" w:vertAnchor="text" w:horzAnchor="margin" w:tblpY="-27"/>
        <w:tblW w:w="9679" w:type="dxa"/>
        <w:tblLayout w:type="fixed"/>
        <w:tblCellMar>
          <w:left w:w="0" w:type="dxa"/>
          <w:right w:w="0" w:type="dxa"/>
        </w:tblCellMar>
        <w:tblLook w:val="0000" w:firstRow="0" w:lastRow="0" w:firstColumn="0" w:lastColumn="0" w:noHBand="0" w:noVBand="0"/>
      </w:tblPr>
      <w:tblGrid>
        <w:gridCol w:w="9639"/>
        <w:gridCol w:w="40"/>
      </w:tblGrid>
      <w:tr w:rsidR="00FE41F1" w:rsidTr="00FE41F1">
        <w:trPr>
          <w:trHeight w:val="345"/>
        </w:trPr>
        <w:tc>
          <w:tcPr>
            <w:tcW w:w="9639" w:type="dxa"/>
            <w:shd w:val="clear" w:color="auto" w:fill="FFFFFF"/>
          </w:tcPr>
          <w:p w:rsidR="00FE41F1" w:rsidRPr="00FE41F1" w:rsidRDefault="00FE41F1" w:rsidP="00FE41F1">
            <w:pPr>
              <w:shd w:val="clear" w:color="auto" w:fill="FFFFFF"/>
              <w:snapToGrid w:val="0"/>
              <w:spacing w:line="360" w:lineRule="auto"/>
              <w:rPr>
                <w:b/>
                <w:bCs/>
                <w:sz w:val="26"/>
                <w:szCs w:val="26"/>
              </w:rPr>
            </w:pPr>
            <w:r>
              <w:rPr>
                <w:b/>
                <w:bCs/>
                <w:sz w:val="26"/>
                <w:szCs w:val="26"/>
              </w:rPr>
              <w:lastRenderedPageBreak/>
              <w:t xml:space="preserve">Confidential Work Highlights in last 12 months </w:t>
            </w:r>
          </w:p>
        </w:tc>
        <w:tc>
          <w:tcPr>
            <w:tcW w:w="40" w:type="dxa"/>
            <w:shd w:val="clear" w:color="auto" w:fill="auto"/>
          </w:tcPr>
          <w:p w:rsidR="00FE41F1" w:rsidRDefault="00FE41F1" w:rsidP="00FE41F1">
            <w:pPr>
              <w:snapToGrid w:val="0"/>
            </w:pPr>
          </w:p>
        </w:tc>
      </w:tr>
      <w:tr w:rsidR="00FE41F1" w:rsidTr="00FE41F1">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FE41F1" w:rsidRDefault="00FE41F1" w:rsidP="00FE41F1">
            <w:pPr>
              <w:snapToGrid w:val="0"/>
              <w:spacing w:line="360" w:lineRule="auto"/>
              <w:jc w:val="center"/>
            </w:pPr>
            <w:r>
              <w:rPr>
                <w:b/>
                <w:bCs/>
                <w:sz w:val="28"/>
                <w:szCs w:val="28"/>
              </w:rPr>
              <w:t xml:space="preserve">Confidential Matter </w:t>
            </w:r>
            <w:r w:rsidRPr="000345C4">
              <w:rPr>
                <w:b/>
                <w:bCs/>
                <w:sz w:val="28"/>
                <w:szCs w:val="28"/>
              </w:rPr>
              <w:t xml:space="preserve">2</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E1 </w:t>
            </w:r>
            <w:r>
              <w:rPr>
                <w:sz w:val="22"/>
                <w:szCs w:val="22"/>
              </w:rPr>
              <w:t>Name of client (for ranking purposes only)</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hd w:val="clear" w:color="auto" w:fill="FFCCCC"/>
              <w:snapToGrid w:val="0"/>
              <w:rPr>
                <w:sz w:val="22"/>
                <w:szCs w:val="22"/>
              </w:rPr>
            </w:pPr>
            <w:r w:rsidRPr="000345C4">
              <w:rPr>
                <w:sz w:val="22"/>
                <w:szCs w:val="22"/>
              </w:rPr>
              <w:t xml:space="preserve">
                <w:r>
                  <w:rPr>
                    <w:b/>
                  </w:rPr>
                  <w:t xml:space="preserve">SUCRO CAN SOURCING, LLC</w:t>
                </w:r>
                <w:r>
                  <w:t xml:space="preserve"> and </w:t>
                </w:r>
                <w:r>
                  <w:rPr>
                    <w:b/>
                  </w:rPr>
                  <w:t xml:space="preserve">SUCRO TRADING, S. DE R.L. DE C.V.</w:t>
                </w:r>
                <w:r>
                  <w:t xml:space="preserve"> (collectively, </w:t>
                </w:r>
                <w:r>
                  <w:rPr>
                    <w:b/>
                  </w:rPr>
                  <w:t xml:space="preserve">SUCRO</w:t>
                </w:r>
                <w:r>
                  <w:t xml:space="preserve">).</w:t>
                </w:r>
              </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FE41F1" w:rsidTr="00FE41F1">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t xml:space="preserve">PCG advised </w:t>
                </w:r>
                <w:r>
                  <w:rPr>
                    <w:b/>
                  </w:rPr>
                  <w:t xml:space="preserve">SUCRO</w:t>
                </w:r>
                <w:r>
                  <w:t xml:space="preserve"> on the due diligence, negotiation and structuring of a </w:t>
                </w:r>
                <w:r>
                  <w:rPr>
                    <w:b/>
                  </w:rPr>
                  <w:t xml:space="preserve">New York Law</w:t>
                </w:r>
                <w:r>
                  <w:t xml:space="preserve">-governed credit facility (the “Facility”) provided by </w:t>
                </w:r>
                <w:r>
                  <w:rPr>
                    <w:b/>
                  </w:rPr>
                  <w:t xml:space="preserve">COÖPERATIEVE RABOBANK U.A., NEW YORK BRANCH</w:t>
                </w:r>
                <w:r>
                  <w:t xml:space="preserve"> as administrative agent to the lenders, together with the related </w:t>
                </w:r>
                <w:r>
                  <w:rPr>
                    <w:b/>
                  </w:rPr>
                  <w:t xml:space="preserve">Mexican</w:t>
                </w:r>
                <w:r>
                  <w:t xml:space="preserve"> collateral documentation.</w:t>
                </w:r>
                <w:r>
                  <w:t xml:space="preserve"/>
                  <w:br/>
                  <w:t xml:space="preserve"/>
                </w:r>
                <w:r>
                  <w:t xml:space="preserve"/>
                  <w:br/>
                  <w:t xml:space="preserve"/>
                </w:r>
                <w:r>
                  <w:t xml:space="preserve"/>
                  <w:br/>
                  <w:t xml:space="preserve"/>
                </w:r>
                <w:r>
                  <w:t xml:space="preserve">The transaction secured </w:t>
                </w:r>
                <w:r>
                  <w:rPr>
                    <w:b/>
                  </w:rPr>
                  <w:t xml:space="preserve">USD 250 million</w:t>
                </w:r>
                <w:r>
                  <w:t xml:space="preserve"> in financing for </w:t>
                </w:r>
                <w:r>
                  <w:rPr>
                    <w:b/>
                  </w:rPr>
                  <w:t xml:space="preserve">SUCRO</w:t>
                </w:r>
                <w:r>
                  <w:t xml:space="preserve">, supporting its global operations and broader supply chain capabilities. It also required close coordination across </w:t>
                </w:r>
                <w:r>
                  <w:rPr>
                    <w:b/>
                  </w:rPr>
                  <w:t xml:space="preserve">New York Law</w:t>
                </w:r>
                <w:r>
                  <w:t xml:space="preserve"> and </w:t>
                </w:r>
                <w:r>
                  <w:rPr>
                    <w:b/>
                  </w:rPr>
                  <w:t xml:space="preserve">Mexican Law</w:t>
                </w:r>
                <w:r>
                  <w:t xml:space="preserve">, with the team managing local collateral documentation to preserve compliance and protect the borrower’s position.</w:t>
                </w:r>
                <w:r>
                  <w:t xml:space="preserve"/>
                  <w:br/>
                  <w:t xml:space="preserve"/>
                </w:r>
                <w:r>
                  <w:t xml:space="preserve"/>
                  <w:br/>
                  <w:t xml:space="preserve"/>
                </w:r>
                <w:r>
                  <w:t xml:space="preserve"/>
                  <w:br/>
                  <w:t xml:space="preserve"/>
                </w:r>
                <w:r>
                  <w:t xml:space="preserve">PCG steered the matter from diligence through documentation, addressing the cross-border legal and regulatory issues inherent in a facility of this size. The mandate underscores the team’s ability to execute mid-market cross-border lending with sufficient depth to coordinate both the financing terms and the local security package efficiently.</w:t>
                </w:r>
              </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E3 </w:t>
            </w:r>
            <w:r>
              <w:rPr>
                <w:sz w:val="22"/>
                <w:szCs w:val="22"/>
              </w:rPr>
              <w:t>Matter value – include currency and amount in figures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USD 250 million</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E5 </w:t>
            </w:r>
            <w:r>
              <w:rPr>
                <w:sz w:val="22"/>
                <w:szCs w:val="22"/>
              </w:rPr>
              <w:t>Lead partner</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E6 </w:t>
            </w:r>
            <w:r>
              <w:rPr>
                <w:sz w:val="22"/>
                <w:szCs w:val="22"/>
              </w:rPr>
              <w:t>Other team members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Eduardo Yrigoyen</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E7 </w:t>
            </w:r>
            <w:r>
              <w:rPr>
                <w:sz w:val="22"/>
                <w:szCs w:val="22"/>
              </w:rPr>
              <w:t>Other firms advising on the matter and their role(s)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iCs/>
                <w:sz w:val="14"/>
                <w:szCs w:val="14"/>
              </w:rPr>
              <w:t xml:space="preserve">E8 </w:t>
            </w:r>
            <w:r>
              <w:rPr>
                <w:iCs/>
                <w:sz w:val="22"/>
                <w:szCs w:val="22"/>
              </w:rPr>
              <w:t>Date of completion or current status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E9 </w:t>
            </w:r>
            <w:r>
              <w:rPr>
                <w:sz w:val="22"/>
                <w:szCs w:val="22"/>
              </w:rPr>
              <w:t>Other information about this matter – e.g. link to press coverage</w:t>
            </w:r>
          </w:p>
        </w:tc>
      </w:tr>
      <w:tr w:rsidR="00FE41F1" w:rsidTr="00FE41F1">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bCs/>
                <w:sz w:val="22"/>
                <w:szCs w:val="22"/>
              </w:rPr>
            </w:pPr>
            <w:r w:rsidRPr="000345C4">
              <w:rPr>
                <w:sz w:val="22"/>
                <w:szCs w:val="22"/>
              </w:rPr>
              <w:t xml:space="preserve"/>
            </w:r>
          </w:p>
        </w:tc>
      </w:tr>
    </w:tbl>
    <w:p w:rsidR="00FE41F1" w:rsidRPr="00FE41F1" w:rsidRDefault="00FE41F1" w:rsidP="00FE41F1">
      <w:pPr>
        <w:rPr>
          <w:b/>
          <w:bCs/>
          <w:sz w:val="26"/>
          <w:szCs w:val="26"/>
        </w:rPr>
      </w:pPr>
    </w:p>
    <w:p w:rsidR="00AB2803" w:rsidRDefault="00AB2803" w:rsidP="00AB2803">
      <w:pPr>
        <w:keepNext/>
        <w:jc w:val="center"/>
        <w:rPr>
          <w:b/>
          <w:bCs/>
          <w:u w:val="single"/>
        </w:rPr>
      </w:pPr>
      <w:r>
        <w:rPr>
          <w:b/>
          <w:bCs/>
          <w:u w:val="single"/>
        </w:rPr>
        <w:t xml:space="preserve">IMPORTANT: Please do not exceed one page per deal.</w:t>
      </w:r>
    </w:p>
    <w:p w:rsidR="00FE41F1" w:rsidRDefault="00FE41F1" w:rsidP="00FE41F1">
      <w:pPr>
        <w:keepNext/>
        <w:rPr>
          <w:b/>
          <w:bCs/>
          <w:u w:val="single"/>
        </w:rPr>
      </w:pPr>
    </w:p>
    <w:p w:rsidR="00B9523C" w:rsidRDefault="00B9523C" w:rsidP="00B11E3F">
      <w:pPr>
        <w:keepNext/>
        <w:rPr>
          <w:b/>
          <w:bCs/>
          <w:u w:val="single"/>
        </w:rPr>
      </w:pPr>
    </w:p>
    <w:p w:rsidR="00FE41F1" w:rsidRDefault="00FE41F1">
      <w:pPr>
        <w:widowControl/>
        <w:suppressAutoHyphens w:val="0"/>
        <w:rPr>
          <w:b/>
          <w:bCs/>
          <w:sz w:val="26"/>
          <w:szCs w:val="26"/>
        </w:rPr>
      </w:pPr>
      <w:r>
        <w:rPr>
          <w:b/>
          <w:bCs/>
          <w:sz w:val="26"/>
          <w:szCs w:val="26"/>
        </w:rPr>
        <w:br w:type="page"/>
      </w:r>
    </w:p>
    <w:tbl>
      <w:tblPr>
        <w:tblpPr w:leftFromText="180" w:rightFromText="180" w:vertAnchor="text" w:horzAnchor="margin" w:tblpY="-27"/>
        <w:tblW w:w="9679" w:type="dxa"/>
        <w:tblLayout w:type="fixed"/>
        <w:tblCellMar>
          <w:left w:w="0" w:type="dxa"/>
          <w:right w:w="0" w:type="dxa"/>
        </w:tblCellMar>
        <w:tblLook w:val="0000" w:firstRow="0" w:lastRow="0" w:firstColumn="0" w:lastColumn="0" w:noHBand="0" w:noVBand="0"/>
      </w:tblPr>
      <w:tblGrid>
        <w:gridCol w:w="9639"/>
        <w:gridCol w:w="40"/>
      </w:tblGrid>
      <w:tr w:rsidR="00FE41F1" w:rsidTr="00FE41F1">
        <w:trPr>
          <w:trHeight w:val="345"/>
        </w:trPr>
        <w:tc>
          <w:tcPr>
            <w:tcW w:w="9639" w:type="dxa"/>
            <w:shd w:val="clear" w:color="auto" w:fill="FFFFFF"/>
          </w:tcPr>
          <w:p w:rsidR="00FE41F1" w:rsidRPr="00FE41F1" w:rsidRDefault="00FE41F1" w:rsidP="00FE41F1">
            <w:pPr>
              <w:shd w:val="clear" w:color="auto" w:fill="FFFFFF"/>
              <w:snapToGrid w:val="0"/>
              <w:spacing w:line="360" w:lineRule="auto"/>
              <w:rPr>
                <w:b/>
                <w:bCs/>
                <w:sz w:val="26"/>
                <w:szCs w:val="26"/>
              </w:rPr>
            </w:pPr>
            <w:r>
              <w:rPr>
                <w:b/>
                <w:bCs/>
                <w:sz w:val="26"/>
                <w:szCs w:val="26"/>
              </w:rPr>
              <w:lastRenderedPageBreak/>
              <w:t xml:space="preserve">Confidential Work Highlights in last 12 months </w:t>
            </w:r>
          </w:p>
        </w:tc>
        <w:tc>
          <w:tcPr>
            <w:tcW w:w="40" w:type="dxa"/>
            <w:shd w:val="clear" w:color="auto" w:fill="auto"/>
          </w:tcPr>
          <w:p w:rsidR="00FE41F1" w:rsidRDefault="00FE41F1" w:rsidP="00FE41F1">
            <w:pPr>
              <w:snapToGrid w:val="0"/>
            </w:pPr>
          </w:p>
        </w:tc>
      </w:tr>
      <w:tr w:rsidR="00FE41F1" w:rsidTr="00FE41F1">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FE41F1" w:rsidRDefault="00FE41F1" w:rsidP="00FE41F1">
            <w:pPr>
              <w:snapToGrid w:val="0"/>
              <w:spacing w:line="360" w:lineRule="auto"/>
              <w:jc w:val="center"/>
            </w:pPr>
            <w:r>
              <w:rPr>
                <w:b/>
                <w:bCs/>
                <w:sz w:val="28"/>
                <w:szCs w:val="28"/>
              </w:rPr>
              <w:t xml:space="preserve">Confidential Matter </w:t>
            </w:r>
            <w:r w:rsidRPr="000345C4">
              <w:rPr>
                <w:b/>
                <w:bCs/>
                <w:sz w:val="28"/>
                <w:szCs w:val="28"/>
              </w:rPr>
              <w:t xml:space="preserve">3</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E1 </w:t>
            </w:r>
            <w:r>
              <w:rPr>
                <w:sz w:val="22"/>
                <w:szCs w:val="22"/>
              </w:rPr>
              <w:t>Name of client (for ranking purposes only)</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hd w:val="clear" w:color="auto" w:fill="FFCCCC"/>
              <w:snapToGrid w:val="0"/>
              <w:rPr>
                <w:sz w:val="22"/>
                <w:szCs w:val="22"/>
              </w:rPr>
            </w:pPr>
            <w:r w:rsidRPr="000345C4">
              <w:rPr>
                <w:sz w:val="22"/>
                <w:szCs w:val="22"/>
              </w:rPr>
              <w:t xml:space="preserve">Truelink Capital (“Truelink Capital”)</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FE41F1" w:rsidTr="00FE41F1">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t xml:space="preserve">PCG advised </w:t>
                </w:r>
                <w:r>
                  <w:rPr>
                    <w:b/>
                  </w:rPr>
                  <w:t xml:space="preserve">Truelink Capital</w:t>
                </w:r>
                <w:r>
                  <w:t xml:space="preserve"> on the negotiation and structuring of a </w:t>
                </w:r>
                <w:r>
                  <w:rPr>
                    <w:b/>
                  </w:rPr>
                  <w:t xml:space="preserve">New York Law</w:t>
                </w:r>
                <w:r>
                  <w:t xml:space="preserve">-governed credit facility (the “Facility”) provided by </w:t>
                </w:r>
                <w:r>
                  <w:rPr>
                    <w:b/>
                  </w:rPr>
                  <w:t xml:space="preserve">BlackRock Capital Investment Advisors, LLC</w:t>
                </w:r>
                <w:r>
                  <w:t xml:space="preserve"> and its affiliates as lenders, together with the related </w:t>
                </w:r>
                <w:r>
                  <w:rPr>
                    <w:b/>
                  </w:rPr>
                  <w:t xml:space="preserve">Mexican</w:t>
                </w:r>
                <w:r>
                  <w:t xml:space="preserve"> collateral documentation.</w:t>
                </w:r>
                <w:r>
                  <w:t xml:space="preserve"/>
                  <w:br/>
                  <w:t xml:space="preserve"/>
                </w:r>
                <w:r>
                  <w:t xml:space="preserve"/>
                  <w:br/>
                  <w:t xml:space="preserve"/>
                </w:r>
                <w:r>
                  <w:t xml:space="preserve"/>
                  <w:br/>
                  <w:t xml:space="preserve"/>
                </w:r>
                <w:r>
                  <w:t xml:space="preserve">The Facility financed the global acquisition of </w:t>
                </w:r>
                <w:r>
                  <w:rPr>
                    <w:b/>
                  </w:rPr>
                  <w:t xml:space="preserve">100% of Air Distribution Technologies, Inc. and Air Distribution Holdings I, LLC</w:t>
                </w:r>
                <w:r>
                  <w:t xml:space="preserve"> (collectively, </w:t>
                </w:r>
                <w:r>
                  <w:rPr>
                    <w:b/>
                  </w:rPr>
                  <w:t xml:space="preserve">Johnson Controls</w:t>
                </w:r>
                <w:r>
                  <w:t xml:space="preserve">), a transaction with a clear cross-border execution component given the target’s operations in multiple jurisdictions, including </w:t>
                </w:r>
                <w:r>
                  <w:rPr>
                    <w:b/>
                  </w:rPr>
                  <w:t xml:space="preserve">Ciudad Juarez, Chihuahua</w:t>
                </w:r>
                <w:r>
                  <w:t xml:space="preserve">.</w:t>
                </w:r>
                <w:r>
                  <w:t xml:space="preserve"/>
                  <w:br/>
                  <w:t xml:space="preserve"/>
                </w:r>
                <w:r>
                  <w:t xml:space="preserve"/>
                  <w:br/>
                  <w:t xml:space="preserve"/>
                </w:r>
                <w:r>
                  <w:t xml:space="preserve"/>
                  <w:br/>
                  <w:t xml:space="preserve"/>
                </w:r>
                <w:r>
                  <w:t xml:space="preserve">PCG supported </w:t>
                </w:r>
                <w:r>
                  <w:rPr>
                    <w:b/>
                  </w:rPr>
                  <w:t xml:space="preserve">Truelink Capital</w:t>
                </w:r>
                <w:r>
                  <w:t xml:space="preserve"> throughout the financing negotiations, the structuring of the security package and the preparation of the </w:t>
                </w:r>
                <w:r>
                  <w:rPr>
                    <w:b/>
                  </w:rPr>
                  <w:t xml:space="preserve">Mexican</w:t>
                </w:r>
                <w:r>
                  <w:t xml:space="preserve"> collateral documentation. The matter required disciplined coordination between the acquisition financing and local-law collateral work, and it demonstrates the team’s capability to advise institutional sponsors on leveraged cross-border financings.</w:t>
                </w:r>
              </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E3 </w:t>
            </w:r>
            <w:r>
              <w:rPr>
                <w:sz w:val="22"/>
                <w:szCs w:val="22"/>
              </w:rPr>
              <w:t>Matter value – include currency and amount in figures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USD 246 million.</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Yes. USA and Mexico.</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E5 </w:t>
            </w:r>
            <w:r>
              <w:rPr>
                <w:sz w:val="22"/>
                <w:szCs w:val="22"/>
              </w:rPr>
              <w:t>Lead partner</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E6 </w:t>
            </w:r>
            <w:r>
              <w:rPr>
                <w:sz w:val="22"/>
                <w:szCs w:val="22"/>
              </w:rPr>
              <w:t>Other team members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Eduardo Yrigoyen</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E7 </w:t>
            </w:r>
            <w:r>
              <w:rPr>
                <w:sz w:val="22"/>
                <w:szCs w:val="22"/>
              </w:rPr>
              <w:t>Other firms advising on the matter and their role(s)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iCs/>
                <w:sz w:val="14"/>
                <w:szCs w:val="14"/>
              </w:rPr>
              <w:t xml:space="preserve">E8 </w:t>
            </w:r>
            <w:r>
              <w:rPr>
                <w:iCs/>
                <w:sz w:val="22"/>
                <w:szCs w:val="22"/>
              </w:rPr>
              <w:t>Date of completion or current status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E9 </w:t>
            </w:r>
            <w:r>
              <w:rPr>
                <w:sz w:val="22"/>
                <w:szCs w:val="22"/>
              </w:rPr>
              <w:t>Other information about this matter – e.g. link to press coverage</w:t>
            </w:r>
          </w:p>
        </w:tc>
      </w:tr>
      <w:tr w:rsidR="00FE41F1" w:rsidTr="00FE41F1">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bCs/>
                <w:sz w:val="22"/>
                <w:szCs w:val="22"/>
              </w:rPr>
            </w:pPr>
            <w:r w:rsidRPr="000345C4">
              <w:rPr>
                <w:sz w:val="22"/>
                <w:szCs w:val="22"/>
              </w:rPr>
              <w:t xml:space="preserve"/>
            </w:r>
          </w:p>
        </w:tc>
      </w:tr>
    </w:tbl>
    <w:p w:rsidR="00FE41F1" w:rsidRPr="00FE41F1" w:rsidRDefault="00FE41F1" w:rsidP="00FE41F1">
      <w:pPr>
        <w:rPr>
          <w:b/>
          <w:bCs/>
          <w:sz w:val="26"/>
          <w:szCs w:val="26"/>
        </w:rPr>
      </w:pPr>
    </w:p>
    <w:p w:rsidR="00AB2803" w:rsidRDefault="00AB2803" w:rsidP="00AB2803">
      <w:pPr>
        <w:keepNext/>
        <w:jc w:val="center"/>
        <w:rPr>
          <w:b/>
          <w:bCs/>
          <w:u w:val="single"/>
        </w:rPr>
      </w:pPr>
      <w:r>
        <w:rPr>
          <w:b/>
          <w:bCs/>
          <w:u w:val="single"/>
        </w:rPr>
        <w:t xml:space="preserve">IMPORTANT: Please do not exceed one page per deal.</w:t>
      </w:r>
    </w:p>
    <w:p w:rsidR="00FE41F1" w:rsidRDefault="00FE41F1" w:rsidP="00FE41F1">
      <w:pPr>
        <w:keepNext/>
        <w:rPr>
          <w:b/>
          <w:bCs/>
          <w:u w:val="single"/>
        </w:rPr>
      </w:pPr>
    </w:p>
    <w:p w:rsidR="00B9523C" w:rsidRDefault="00B9523C" w:rsidP="00B11E3F">
      <w:pPr>
        <w:keepNext/>
        <w:rPr>
          <w:b/>
          <w:bCs/>
          <w:u w:val="single"/>
        </w:rPr>
      </w:pPr>
    </w:p>
    <w:p w:rsidR="00FE41F1" w:rsidRDefault="00FE41F1">
      <w:pPr>
        <w:widowControl/>
        <w:suppressAutoHyphens w:val="0"/>
        <w:rPr>
          <w:b/>
          <w:bCs/>
          <w:sz w:val="26"/>
          <w:szCs w:val="26"/>
        </w:rPr>
      </w:pPr>
      <w:r>
        <w:rPr>
          <w:b/>
          <w:bCs/>
          <w:sz w:val="26"/>
          <w:szCs w:val="26"/>
        </w:rPr>
        <w:br w:type="page"/>
      </w:r>
    </w:p>
    <w:tbl>
      <w:tblPr>
        <w:tblpPr w:leftFromText="180" w:rightFromText="180" w:vertAnchor="text" w:horzAnchor="margin" w:tblpY="-27"/>
        <w:tblW w:w="9679" w:type="dxa"/>
        <w:tblLayout w:type="fixed"/>
        <w:tblCellMar>
          <w:left w:w="0" w:type="dxa"/>
          <w:right w:w="0" w:type="dxa"/>
        </w:tblCellMar>
        <w:tblLook w:val="0000" w:firstRow="0" w:lastRow="0" w:firstColumn="0" w:lastColumn="0" w:noHBand="0" w:noVBand="0"/>
      </w:tblPr>
      <w:tblGrid>
        <w:gridCol w:w="9639"/>
        <w:gridCol w:w="40"/>
      </w:tblGrid>
      <w:tr w:rsidR="00FE41F1" w:rsidTr="00FE41F1">
        <w:trPr>
          <w:trHeight w:val="345"/>
        </w:trPr>
        <w:tc>
          <w:tcPr>
            <w:tcW w:w="9639" w:type="dxa"/>
            <w:shd w:val="clear" w:color="auto" w:fill="FFFFFF"/>
          </w:tcPr>
          <w:p w:rsidR="00FE41F1" w:rsidRPr="00FE41F1" w:rsidRDefault="00FE41F1" w:rsidP="00FE41F1">
            <w:pPr>
              <w:shd w:val="clear" w:color="auto" w:fill="FFFFFF"/>
              <w:snapToGrid w:val="0"/>
              <w:spacing w:line="360" w:lineRule="auto"/>
              <w:rPr>
                <w:b/>
                <w:bCs/>
                <w:sz w:val="26"/>
                <w:szCs w:val="26"/>
              </w:rPr>
            </w:pPr>
            <w:r>
              <w:rPr>
                <w:b/>
                <w:bCs/>
                <w:sz w:val="26"/>
                <w:szCs w:val="26"/>
              </w:rPr>
              <w:lastRenderedPageBreak/>
              <w:t xml:space="preserve">Confidential Work Highlights in last 12 months </w:t>
            </w:r>
          </w:p>
        </w:tc>
        <w:tc>
          <w:tcPr>
            <w:tcW w:w="40" w:type="dxa"/>
            <w:shd w:val="clear" w:color="auto" w:fill="auto"/>
          </w:tcPr>
          <w:p w:rsidR="00FE41F1" w:rsidRDefault="00FE41F1" w:rsidP="00FE41F1">
            <w:pPr>
              <w:snapToGrid w:val="0"/>
            </w:pPr>
          </w:p>
        </w:tc>
      </w:tr>
      <w:tr w:rsidR="00FE41F1" w:rsidTr="00FE41F1">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FE41F1" w:rsidRDefault="00FE41F1" w:rsidP="00FE41F1">
            <w:pPr>
              <w:snapToGrid w:val="0"/>
              <w:spacing w:line="360" w:lineRule="auto"/>
              <w:jc w:val="center"/>
            </w:pPr>
            <w:r>
              <w:rPr>
                <w:b/>
                <w:bCs/>
                <w:sz w:val="28"/>
                <w:szCs w:val="28"/>
              </w:rPr>
              <w:t xml:space="preserve">Confidential Matter </w:t>
            </w:r>
            <w:r w:rsidRPr="000345C4">
              <w:rPr>
                <w:b/>
                <w:bCs/>
                <w:sz w:val="28"/>
                <w:szCs w:val="28"/>
              </w:rPr>
              <w:t xml:space="preserve">4</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E1 </w:t>
            </w:r>
            <w:r>
              <w:rPr>
                <w:sz w:val="22"/>
                <w:szCs w:val="22"/>
              </w:rPr>
              <w:t>Name of client (for ranking purposes only)</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hd w:val="clear" w:color="auto" w:fill="FFCCCC"/>
              <w:snapToGrid w:val="0"/>
              <w:rPr>
                <w:sz w:val="22"/>
                <w:szCs w:val="22"/>
              </w:rPr>
            </w:pPr>
            <w:r w:rsidRPr="000345C4">
              <w:rPr>
                <w:sz w:val="22"/>
                <w:szCs w:val="22"/>
              </w:rPr>
              <w:t xml:space="preserve">BMO Bank, N.A. (“BMO”)</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FE41F1" w:rsidTr="00FE41F1">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t xml:space="preserve">PCG advised </w:t>
                </w:r>
                <w:r>
                  <w:rPr>
                    <w:b/>
                  </w:rPr>
                  <w:t xml:space="preserve">BMO</w:t>
                </w:r>
                <w:r>
                  <w:t xml:space="preserve"> on the due diligence, negotiation and structuring of collateral documentation under a </w:t>
                </w:r>
                <w:r>
                  <w:rPr>
                    <w:b/>
                  </w:rPr>
                  <w:t xml:space="preserve">New York Law</w:t>
                </w:r>
                <w:r>
                  <w:t xml:space="preserve">-governed credit facility (the “Facility”) granted by </w:t>
                </w:r>
                <w:r>
                  <w:rPr>
                    <w:b/>
                  </w:rPr>
                  <w:t xml:space="preserve">BMO</w:t>
                </w:r>
                <w:r>
                  <w:t xml:space="preserve"> as lender to </w:t>
                </w:r>
                <w:r>
                  <w:rPr>
                    <w:b/>
                  </w:rPr>
                  <w:t xml:space="preserve">AJC International, Inc.</w:t>
                </w:r>
                <w:r>
                  <w:t xml:space="preserve"> and </w:t>
                </w:r>
                <w:r>
                  <w:rPr>
                    <w:b/>
                  </w:rPr>
                  <w:t xml:space="preserve">Amerifoods, LLC</w:t>
                </w:r>
                <w:r>
                  <w:t xml:space="preserve"> as borrowers.</w:t>
                </w:r>
                <w:r>
                  <w:t xml:space="preserve"/>
                  <w:br/>
                  <w:t xml:space="preserve"/>
                </w:r>
                <w:r>
                  <w:t xml:space="preserve"/>
                  <w:br/>
                  <w:t xml:space="preserve"/>
                </w:r>
                <w:r>
                  <w:t xml:space="preserve"/>
                  <w:br/>
                  <w:t xml:space="preserve"/>
                </w:r>
                <w:r>
                  <w:t xml:space="preserve">The transaction provided a </w:t>
                </w:r>
                <w:r>
                  <w:rPr>
                    <w:b/>
                  </w:rPr>
                  <w:t xml:space="preserve">USD 235,000,000</w:t>
                </w:r>
                <w:r>
                  <w:t xml:space="preserve"> credit facility to two established participants in the global food distribution sector, supporting working capital, logistics and broader operational growth. Because the financing involved multiple borrowers and a bespoke collateral package, it required disciplined coordination across the lending, diligence and documentation workstreams.</w:t>
                </w:r>
                <w:r>
                  <w:t xml:space="preserve"/>
                  <w:br/>
                  <w:t xml:space="preserve"/>
                </w:r>
                <w:r>
                  <w:t xml:space="preserve"/>
                  <w:br/>
                  <w:t xml:space="preserve"/>
                </w:r>
                <w:r>
                  <w:t xml:space="preserve"/>
                  <w:br/>
                  <w:t xml:space="preserve"/>
                </w:r>
                <w:r>
                  <w:t xml:space="preserve">PCG guided </w:t>
                </w:r>
                <w:r>
                  <w:rPr>
                    <w:b/>
                  </w:rPr>
                  <w:t xml:space="preserve">BMO</w:t>
                </w:r>
                <w:r>
                  <w:t xml:space="preserve"> through the transaction and structured the collateral package to align with its credit requirements under </w:t>
                </w:r>
                <w:r>
                  <w:rPr>
                    <w:b/>
                  </w:rPr>
                  <w:t xml:space="preserve">New York Law</w:t>
                </w:r>
                <w:r>
                  <w:t xml:space="preserve">. The matter illustrates the firm’s ability to support lenders on sizeable mid-market financings where the security documentation must be tailored to the underlying business and borrower group.</w:t>
                </w:r>
              </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E3 </w:t>
            </w:r>
            <w:r>
              <w:rPr>
                <w:sz w:val="22"/>
                <w:szCs w:val="22"/>
              </w:rPr>
              <w:t>Matter value – include currency and amount in figures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USD 235 million</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E5 </w:t>
            </w:r>
            <w:r>
              <w:rPr>
                <w:sz w:val="22"/>
                <w:szCs w:val="22"/>
              </w:rPr>
              <w:t>Lead partner</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E6 </w:t>
            </w:r>
            <w:r>
              <w:rPr>
                <w:sz w:val="22"/>
                <w:szCs w:val="22"/>
              </w:rPr>
              <w:t>Other team members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Eduardo Yrigoyen</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E7 </w:t>
            </w:r>
            <w:r>
              <w:rPr>
                <w:sz w:val="22"/>
                <w:szCs w:val="22"/>
              </w:rPr>
              <w:t>Other firms advising on the matter and their role(s)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iCs/>
                <w:sz w:val="14"/>
                <w:szCs w:val="14"/>
              </w:rPr>
              <w:t xml:space="preserve">E8 </w:t>
            </w:r>
            <w:r>
              <w:rPr>
                <w:iCs/>
                <w:sz w:val="22"/>
                <w:szCs w:val="22"/>
              </w:rPr>
              <w:t>Date of completion or current status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E9 </w:t>
            </w:r>
            <w:r>
              <w:rPr>
                <w:sz w:val="22"/>
                <w:szCs w:val="22"/>
              </w:rPr>
              <w:t>Other information about this matter – e.g. link to press coverage</w:t>
            </w:r>
          </w:p>
        </w:tc>
      </w:tr>
      <w:tr w:rsidR="00FE41F1" w:rsidTr="00FE41F1">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bCs/>
                <w:sz w:val="22"/>
                <w:szCs w:val="22"/>
              </w:rPr>
            </w:pPr>
            <w:r w:rsidRPr="000345C4">
              <w:rPr>
                <w:sz w:val="22"/>
                <w:szCs w:val="22"/>
              </w:rPr>
              <w:t xml:space="preserve"/>
            </w:r>
          </w:p>
        </w:tc>
      </w:tr>
    </w:tbl>
    <w:p w:rsidR="00FE41F1" w:rsidRPr="00FE41F1" w:rsidRDefault="00FE41F1" w:rsidP="00FE41F1">
      <w:pPr>
        <w:rPr>
          <w:b/>
          <w:bCs/>
          <w:sz w:val="26"/>
          <w:szCs w:val="26"/>
        </w:rPr>
      </w:pPr>
    </w:p>
    <w:p w:rsidR="00AB2803" w:rsidRDefault="00AB2803" w:rsidP="00AB2803">
      <w:pPr>
        <w:keepNext/>
        <w:jc w:val="center"/>
        <w:rPr>
          <w:b/>
          <w:bCs/>
          <w:u w:val="single"/>
        </w:rPr>
      </w:pPr>
      <w:r>
        <w:rPr>
          <w:b/>
          <w:bCs/>
          <w:u w:val="single"/>
        </w:rPr>
        <w:t xml:space="preserve">IMPORTANT: Please do not exceed one page per deal.</w:t>
      </w:r>
    </w:p>
    <w:p w:rsidR="00FE41F1" w:rsidRDefault="00FE41F1" w:rsidP="00FE41F1">
      <w:pPr>
        <w:keepNext/>
        <w:rPr>
          <w:b/>
          <w:bCs/>
          <w:u w:val="single"/>
        </w:rPr>
      </w:pPr>
    </w:p>
    <w:p w:rsidR="00B9523C" w:rsidRDefault="00B9523C" w:rsidP="00B11E3F">
      <w:pPr>
        <w:keepNext/>
        <w:rPr>
          <w:b/>
          <w:bCs/>
          <w:u w:val="single"/>
        </w:rPr>
      </w:pPr>
    </w:p>
    <w:p w:rsidR="00FE41F1" w:rsidRDefault="00FE41F1">
      <w:pPr>
        <w:widowControl/>
        <w:suppressAutoHyphens w:val="0"/>
        <w:rPr>
          <w:b/>
          <w:bCs/>
          <w:sz w:val="26"/>
          <w:szCs w:val="26"/>
        </w:rPr>
      </w:pPr>
      <w:r>
        <w:rPr>
          <w:b/>
          <w:bCs/>
          <w:sz w:val="26"/>
          <w:szCs w:val="26"/>
        </w:rPr>
        <w:br w:type="page"/>
      </w:r>
    </w:p>
    <w:tbl>
      <w:tblPr>
        <w:tblpPr w:leftFromText="180" w:rightFromText="180" w:vertAnchor="text" w:horzAnchor="margin" w:tblpY="-27"/>
        <w:tblW w:w="9679" w:type="dxa"/>
        <w:tblLayout w:type="fixed"/>
        <w:tblCellMar>
          <w:left w:w="0" w:type="dxa"/>
          <w:right w:w="0" w:type="dxa"/>
        </w:tblCellMar>
        <w:tblLook w:val="0000" w:firstRow="0" w:lastRow="0" w:firstColumn="0" w:lastColumn="0" w:noHBand="0" w:noVBand="0"/>
      </w:tblPr>
      <w:tblGrid>
        <w:gridCol w:w="9639"/>
        <w:gridCol w:w="40"/>
      </w:tblGrid>
      <w:tr w:rsidR="00FE41F1" w:rsidTr="00FE41F1">
        <w:trPr>
          <w:trHeight w:val="345"/>
        </w:trPr>
        <w:tc>
          <w:tcPr>
            <w:tcW w:w="9639" w:type="dxa"/>
            <w:shd w:val="clear" w:color="auto" w:fill="FFFFFF"/>
          </w:tcPr>
          <w:p w:rsidR="00FE41F1" w:rsidRPr="00FE41F1" w:rsidRDefault="00FE41F1" w:rsidP="00FE41F1">
            <w:pPr>
              <w:shd w:val="clear" w:color="auto" w:fill="FFFFFF"/>
              <w:snapToGrid w:val="0"/>
              <w:spacing w:line="360" w:lineRule="auto"/>
              <w:rPr>
                <w:b/>
                <w:bCs/>
                <w:sz w:val="26"/>
                <w:szCs w:val="26"/>
              </w:rPr>
            </w:pPr>
            <w:r>
              <w:rPr>
                <w:b/>
                <w:bCs/>
                <w:sz w:val="26"/>
                <w:szCs w:val="26"/>
              </w:rPr>
              <w:lastRenderedPageBreak/>
              <w:t xml:space="preserve">Confidential Work Highlights in last 12 months </w:t>
            </w:r>
          </w:p>
        </w:tc>
        <w:tc>
          <w:tcPr>
            <w:tcW w:w="40" w:type="dxa"/>
            <w:shd w:val="clear" w:color="auto" w:fill="auto"/>
          </w:tcPr>
          <w:p w:rsidR="00FE41F1" w:rsidRDefault="00FE41F1" w:rsidP="00FE41F1">
            <w:pPr>
              <w:snapToGrid w:val="0"/>
            </w:pPr>
          </w:p>
        </w:tc>
      </w:tr>
      <w:tr w:rsidR="00FE41F1" w:rsidTr="00FE41F1">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FE41F1" w:rsidRDefault="00FE41F1" w:rsidP="00FE41F1">
            <w:pPr>
              <w:snapToGrid w:val="0"/>
              <w:spacing w:line="360" w:lineRule="auto"/>
              <w:jc w:val="center"/>
            </w:pPr>
            <w:r>
              <w:rPr>
                <w:b/>
                <w:bCs/>
                <w:sz w:val="28"/>
                <w:szCs w:val="28"/>
              </w:rPr>
              <w:t xml:space="preserve">Confidential Matter </w:t>
            </w:r>
            <w:r w:rsidRPr="000345C4">
              <w:rPr>
                <w:b/>
                <w:bCs/>
                <w:sz w:val="28"/>
                <w:szCs w:val="28"/>
              </w:rPr>
              <w:t xml:space="preserve">5</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E1 </w:t>
            </w:r>
            <w:r>
              <w:rPr>
                <w:sz w:val="22"/>
                <w:szCs w:val="22"/>
              </w:rPr>
              <w:t>Name of client (for ranking purposes only)</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hd w:val="clear" w:color="auto" w:fill="FFCCCC"/>
              <w:snapToGrid w:val="0"/>
              <w:rPr>
                <w:sz w:val="22"/>
                <w:szCs w:val="22"/>
              </w:rPr>
            </w:pPr>
            <w:r w:rsidRPr="000345C4">
              <w:rPr>
                <w:sz w:val="22"/>
                <w:szCs w:val="22"/>
              </w:rPr>
              <w:t xml:space="preserve">SMBC, S.A.P.I. de C.V., SOFOM, E.N.R. (“SMBC”)</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FE41F1" w:rsidTr="00FE41F1">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t xml:space="preserve">PCG advised </w:t>
                </w:r>
                <w:r>
                  <w:rPr>
                    <w:b/>
                  </w:rPr>
                  <w:t xml:space="preserve">SMBC</w:t>
                </w:r>
                <w:r>
                  <w:t xml:space="preserve"> on the negotiation and structuring of a </w:t>
                </w:r>
                <w:r>
                  <w:rPr>
                    <w:b/>
                  </w:rPr>
                  <w:t xml:space="preserve">Mexican Law</w:t>
                </w:r>
                <w:r>
                  <w:t xml:space="preserve">-governed credit facility (the “Facility”) granted by </w:t>
                </w:r>
                <w:r>
                  <w:rPr>
                    <w:b/>
                  </w:rPr>
                  <w:t xml:space="preserve">Banco Nacional de Comercio Exterior, S.N.C., Institución de Banca de Desarrollo</w:t>
                </w:r>
                <w:r>
                  <w:t xml:space="preserve"> as lender to </w:t>
                </w:r>
                <w:r>
                  <w:rPr>
                    <w:b/>
                  </w:rPr>
                  <w:t xml:space="preserve">SMBC</w:t>
                </w:r>
                <w:r>
                  <w:t xml:space="preserve"> as borrower, together with the related collateral documentation.</w:t>
                </w:r>
                <w:r>
                  <w:t xml:space="preserve"/>
                  <w:br/>
                  <w:t xml:space="preserve"/>
                </w:r>
                <w:r>
                  <w:t xml:space="preserve"/>
                  <w:br/>
                  <w:t xml:space="preserve"/>
                </w:r>
                <w:r>
                  <w:t xml:space="preserve"/>
                  <w:br/>
                  <w:t xml:space="preserve"/>
                </w:r>
                <w:r>
                  <w:t xml:space="preserve">The financing totalled </w:t>
                </w:r>
                <w:r>
                  <w:rPr>
                    <w:b/>
                  </w:rPr>
                  <w:t xml:space="preserve">USD 170,000,000</w:t>
                </w:r>
                <w:r>
                  <w:t xml:space="preserve"> and required the team to work through the documentation and security arrangements under </w:t>
                </w:r>
                <w:r>
                  <w:rPr>
                    <w:b/>
                  </w:rPr>
                  <w:t xml:space="preserve">Mexican Law</w:t>
                </w:r>
                <w:r>
                  <w:t xml:space="preserve">. The mandate combined lender-side structuring with local-law collateral work, and demanded careful alignment of commercial terms, regulatory requirements and enforceability considerations.</w:t>
                </w:r>
                <w:r>
                  <w:t xml:space="preserve"/>
                  <w:br/>
                  <w:t xml:space="preserve"/>
                </w:r>
                <w:r>
                  <w:t xml:space="preserve"/>
                  <w:br/>
                  <w:t xml:space="preserve"/>
                </w:r>
                <w:r>
                  <w:t xml:space="preserve"/>
                  <w:br/>
                  <w:t xml:space="preserve"/>
                </w:r>
                <w:r>
                  <w:t xml:space="preserve">PCG supported </w:t>
                </w:r>
                <w:r>
                  <w:rPr>
                    <w:b/>
                  </w:rPr>
                  <w:t xml:space="preserve">SMBC</w:t>
                </w:r>
                <w:r>
                  <w:t xml:space="preserve"> throughout the negotiations and documentation process, helping to secure a coherent financing package across the facility and collateral suite. The matter reflects the team’s practical experience in cross-border lending involving Mexican financial institutions and local security enforcement issues.</w:t>
                </w:r>
              </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E3 </w:t>
            </w:r>
            <w:r>
              <w:rPr>
                <w:sz w:val="22"/>
                <w:szCs w:val="22"/>
              </w:rPr>
              <w:t>Matter value – include currency and amount in figures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USD 170 million</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E5 </w:t>
            </w:r>
            <w:r>
              <w:rPr>
                <w:sz w:val="22"/>
                <w:szCs w:val="22"/>
              </w:rPr>
              <w:t>Lead partner</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E6 </w:t>
            </w:r>
            <w:r>
              <w:rPr>
                <w:sz w:val="22"/>
                <w:szCs w:val="22"/>
              </w:rPr>
              <w:t>Other team members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Eduardo Yrigoyen</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E7 </w:t>
            </w:r>
            <w:r>
              <w:rPr>
                <w:sz w:val="22"/>
                <w:szCs w:val="22"/>
              </w:rPr>
              <w:t>Other firms advising on the matter and their role(s)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iCs/>
                <w:sz w:val="14"/>
                <w:szCs w:val="14"/>
              </w:rPr>
              <w:t xml:space="preserve">E8 </w:t>
            </w:r>
            <w:r>
              <w:rPr>
                <w:iCs/>
                <w:sz w:val="22"/>
                <w:szCs w:val="22"/>
              </w:rPr>
              <w:t>Date of completion or current status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E9 </w:t>
            </w:r>
            <w:r>
              <w:rPr>
                <w:sz w:val="22"/>
                <w:szCs w:val="22"/>
              </w:rPr>
              <w:t>Other information about this matter – e.g. link to press coverage</w:t>
            </w:r>
          </w:p>
        </w:tc>
      </w:tr>
      <w:tr w:rsidR="00FE41F1" w:rsidTr="00FE41F1">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bCs/>
                <w:sz w:val="22"/>
                <w:szCs w:val="22"/>
              </w:rPr>
            </w:pPr>
            <w:r w:rsidRPr="000345C4">
              <w:rPr>
                <w:sz w:val="22"/>
                <w:szCs w:val="22"/>
              </w:rPr>
              <w:t xml:space="preserve"/>
            </w:r>
          </w:p>
        </w:tc>
      </w:tr>
    </w:tbl>
    <w:p w:rsidR="00FE41F1" w:rsidRPr="00FE41F1" w:rsidRDefault="00FE41F1" w:rsidP="00FE41F1">
      <w:pPr>
        <w:rPr>
          <w:b/>
          <w:bCs/>
          <w:sz w:val="26"/>
          <w:szCs w:val="26"/>
        </w:rPr>
      </w:pPr>
    </w:p>
    <w:p w:rsidR="00AB2803" w:rsidRDefault="00AB2803" w:rsidP="00AB2803">
      <w:pPr>
        <w:keepNext/>
        <w:jc w:val="center"/>
        <w:rPr>
          <w:b/>
          <w:bCs/>
          <w:u w:val="single"/>
        </w:rPr>
      </w:pPr>
      <w:r>
        <w:rPr>
          <w:b/>
          <w:bCs/>
          <w:u w:val="single"/>
        </w:rPr>
        <w:t xml:space="preserve">IMPORTANT: Please do not exceed one page per deal.</w:t>
      </w:r>
    </w:p>
    <w:p w:rsidR="00FE41F1" w:rsidRDefault="00FE41F1" w:rsidP="00FE41F1">
      <w:pPr>
        <w:keepNext/>
        <w:rPr>
          <w:b/>
          <w:bCs/>
          <w:u w:val="single"/>
        </w:rPr>
      </w:pPr>
    </w:p>
    <w:p w:rsidR="00B9523C" w:rsidRDefault="00B9523C" w:rsidP="00B11E3F">
      <w:pPr>
        <w:keepNext/>
        <w:rPr>
          <w:b/>
          <w:bCs/>
          <w:u w:val="single"/>
        </w:rPr>
      </w:pPr>
    </w:p>
    <w:p w:rsidR="00FE41F1" w:rsidRDefault="00FE41F1">
      <w:pPr>
        <w:widowControl/>
        <w:suppressAutoHyphens w:val="0"/>
        <w:rPr>
          <w:b/>
          <w:bCs/>
          <w:sz w:val="26"/>
          <w:szCs w:val="26"/>
        </w:rPr>
      </w:pPr>
      <w:r>
        <w:rPr>
          <w:b/>
          <w:bCs/>
          <w:sz w:val="26"/>
          <w:szCs w:val="26"/>
        </w:rPr>
        <w:br w:type="page"/>
      </w:r>
    </w:p>
    <w:tbl>
      <w:tblPr>
        <w:tblpPr w:leftFromText="180" w:rightFromText="180" w:vertAnchor="text" w:horzAnchor="margin" w:tblpY="-27"/>
        <w:tblW w:w="9679" w:type="dxa"/>
        <w:tblLayout w:type="fixed"/>
        <w:tblCellMar>
          <w:left w:w="0" w:type="dxa"/>
          <w:right w:w="0" w:type="dxa"/>
        </w:tblCellMar>
        <w:tblLook w:val="0000" w:firstRow="0" w:lastRow="0" w:firstColumn="0" w:lastColumn="0" w:noHBand="0" w:noVBand="0"/>
      </w:tblPr>
      <w:tblGrid>
        <w:gridCol w:w="9639"/>
        <w:gridCol w:w="40"/>
      </w:tblGrid>
      <w:tr w:rsidR="00FE41F1" w:rsidTr="00FE41F1">
        <w:trPr>
          <w:trHeight w:val="345"/>
        </w:trPr>
        <w:tc>
          <w:tcPr>
            <w:tcW w:w="9639" w:type="dxa"/>
            <w:shd w:val="clear" w:color="auto" w:fill="FFFFFF"/>
          </w:tcPr>
          <w:p w:rsidR="00FE41F1" w:rsidRPr="00FE41F1" w:rsidRDefault="00FE41F1" w:rsidP="00FE41F1">
            <w:pPr>
              <w:shd w:val="clear" w:color="auto" w:fill="FFFFFF"/>
              <w:snapToGrid w:val="0"/>
              <w:spacing w:line="360" w:lineRule="auto"/>
              <w:rPr>
                <w:b/>
                <w:bCs/>
                <w:sz w:val="26"/>
                <w:szCs w:val="26"/>
              </w:rPr>
            </w:pPr>
            <w:r>
              <w:rPr>
                <w:b/>
                <w:bCs/>
                <w:sz w:val="26"/>
                <w:szCs w:val="26"/>
              </w:rPr>
              <w:lastRenderedPageBreak/>
              <w:t xml:space="preserve">Confidential Work Highlights in last 12 months </w:t>
            </w:r>
          </w:p>
        </w:tc>
        <w:tc>
          <w:tcPr>
            <w:tcW w:w="40" w:type="dxa"/>
            <w:shd w:val="clear" w:color="auto" w:fill="auto"/>
          </w:tcPr>
          <w:p w:rsidR="00FE41F1" w:rsidRDefault="00FE41F1" w:rsidP="00FE41F1">
            <w:pPr>
              <w:snapToGrid w:val="0"/>
            </w:pPr>
          </w:p>
        </w:tc>
      </w:tr>
      <w:tr w:rsidR="00FE41F1" w:rsidTr="00FE41F1">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FE41F1" w:rsidRDefault="00FE41F1" w:rsidP="00FE41F1">
            <w:pPr>
              <w:snapToGrid w:val="0"/>
              <w:spacing w:line="360" w:lineRule="auto"/>
              <w:jc w:val="center"/>
            </w:pPr>
            <w:r>
              <w:rPr>
                <w:b/>
                <w:bCs/>
                <w:sz w:val="28"/>
                <w:szCs w:val="28"/>
              </w:rPr>
              <w:t xml:space="preserve">Confidential Matter </w:t>
            </w:r>
            <w:r w:rsidRPr="000345C4">
              <w:rPr>
                <w:b/>
                <w:bCs/>
                <w:sz w:val="28"/>
                <w:szCs w:val="28"/>
              </w:rPr>
              <w:t xml:space="preserve">6</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E1 </w:t>
            </w:r>
            <w:r>
              <w:rPr>
                <w:sz w:val="22"/>
                <w:szCs w:val="22"/>
              </w:rPr>
              <w:t>Name of client (for ranking purposes only)</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hd w:val="clear" w:color="auto" w:fill="FFCCCC"/>
              <w:snapToGrid w:val="0"/>
              <w:rPr>
                <w:sz w:val="22"/>
                <w:szCs w:val="22"/>
              </w:rPr>
            </w:pPr>
            <w:r w:rsidRPr="000345C4">
              <w:rPr>
                <w:sz w:val="22"/>
                <w:szCs w:val="22"/>
              </w:rPr>
              <w:t xml:space="preserve">BMO Bank, N.A. (“BMO”)</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FE41F1" w:rsidTr="00FE41F1">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t xml:space="preserve">PCG advised </w:t>
                </w:r>
                <w:r>
                  <w:rPr>
                    <w:b/>
                  </w:rPr>
                  <w:t xml:space="preserve">BMO</w:t>
                </w:r>
                <w:r>
                  <w:t xml:space="preserve"> on the due diligence, negotiation and structuring of a </w:t>
                </w:r>
                <w:r>
                  <w:rPr>
                    <w:b/>
                  </w:rPr>
                  <w:t xml:space="preserve">New York Law</w:t>
                </w:r>
                <w:r>
                  <w:t xml:space="preserve">-governed credit facility (the “Facility”) provided by </w:t>
                </w:r>
                <w:r>
                  <w:rPr>
                    <w:b/>
                  </w:rPr>
                  <w:t xml:space="preserve">BMO</w:t>
                </w:r>
                <w:r>
                  <w:t xml:space="preserve"> as lender to </w:t>
                </w:r>
                <w:r>
                  <w:rPr>
                    <w:b/>
                  </w:rPr>
                  <w:t xml:space="preserve">STEMCOR USA INC.</w:t>
                </w:r>
                <w:r>
                  <w:t xml:space="preserve"> and </w:t>
                </w:r>
                <w:r>
                  <w:rPr>
                    <w:b/>
                  </w:rPr>
                  <w:t xml:space="preserve">STEMCOR NEW YORK, LLC</w:t>
                </w:r>
                <w:r>
                  <w:t xml:space="preserve"> as borrowers, together with the related </w:t>
                </w:r>
                <w:r>
                  <w:rPr>
                    <w:b/>
                  </w:rPr>
                  <w:t xml:space="preserve">Mexican</w:t>
                </w:r>
                <w:r>
                  <w:t xml:space="preserve"> collateral documentation.</w:t>
                </w:r>
                <w:r>
                  <w:t xml:space="preserve"/>
                  <w:br/>
                  <w:t xml:space="preserve"/>
                </w:r>
                <w:r>
                  <w:t xml:space="preserve"/>
                  <w:br/>
                  <w:t xml:space="preserve"/>
                </w:r>
                <w:r>
                  <w:t xml:space="preserve"/>
                  <w:br/>
                  <w:t xml:space="preserve"/>
                </w:r>
                <w:r>
                  <w:t xml:space="preserve">The Facility totalled </w:t>
                </w:r>
                <w:r>
                  <w:rPr>
                    <w:b/>
                  </w:rPr>
                  <w:t xml:space="preserve">USD 125,000,000</w:t>
                </w:r>
                <w:r>
                  <w:t xml:space="preserve"> and supported the borrowers’ activities in the steel and raw materials distribution market. The work required the coordination of a </w:t>
                </w:r>
                <w:r>
                  <w:rPr>
                    <w:b/>
                  </w:rPr>
                  <w:t xml:space="preserve">New York Law</w:t>
                </w:r>
                <w:r>
                  <w:t xml:space="preserve"> financing with local security documentation in </w:t>
                </w:r>
                <w:r>
                  <w:rPr>
                    <w:b/>
                  </w:rPr>
                  <w:t xml:space="preserve">Mexico</w:t>
                </w:r>
                <w:r>
                  <w:t xml:space="preserve">, creating a cross-border documentation package that had to function across different legal systems.</w:t>
                </w:r>
                <w:r>
                  <w:t xml:space="preserve"/>
                  <w:br/>
                  <w:t xml:space="preserve"/>
                </w:r>
                <w:r>
                  <w:t xml:space="preserve"/>
                  <w:br/>
                  <w:t xml:space="preserve"/>
                </w:r>
                <w:r>
                  <w:t xml:space="preserve"/>
                  <w:br/>
                  <w:t xml:space="preserve"/>
                </w:r>
                <w:r>
                  <w:t xml:space="preserve">PCG advised </w:t>
                </w:r>
                <w:r>
                  <w:rPr>
                    <w:b/>
                  </w:rPr>
                  <w:t xml:space="preserve">BMO</w:t>
                </w:r>
                <w:r>
                  <w:t xml:space="preserve"> through diligence, negotiations and security structuring, ensuring the collateral arrangements aligned with the lender’s requirements and local-law constraints. The mandate demonstrates the team’s ability to handle repeat cross-border lending assignments for institutional lenders with a steady mix of financing and collateral work.</w:t>
                </w:r>
              </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E3 </w:t>
            </w:r>
            <w:r>
              <w:rPr>
                <w:sz w:val="22"/>
                <w:szCs w:val="22"/>
              </w:rPr>
              <w:t>Matter value – include currency and amount in figures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USD 125 million</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E5 </w:t>
            </w:r>
            <w:r>
              <w:rPr>
                <w:sz w:val="22"/>
                <w:szCs w:val="22"/>
              </w:rPr>
              <w:t>Lead partner</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E6 </w:t>
            </w:r>
            <w:r>
              <w:rPr>
                <w:sz w:val="22"/>
                <w:szCs w:val="22"/>
              </w:rPr>
              <w:t>Other team members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Eduardo Yrigoyen</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E7 </w:t>
            </w:r>
            <w:r>
              <w:rPr>
                <w:sz w:val="22"/>
                <w:szCs w:val="22"/>
              </w:rPr>
              <w:t>Other firms advising on the matter and their role(s)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iCs/>
                <w:sz w:val="14"/>
                <w:szCs w:val="14"/>
              </w:rPr>
              <w:t xml:space="preserve">E8 </w:t>
            </w:r>
            <w:r>
              <w:rPr>
                <w:iCs/>
                <w:sz w:val="22"/>
                <w:szCs w:val="22"/>
              </w:rPr>
              <w:t>Date of completion or current status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E9 </w:t>
            </w:r>
            <w:r>
              <w:rPr>
                <w:sz w:val="22"/>
                <w:szCs w:val="22"/>
              </w:rPr>
              <w:t>Other information about this matter – e.g. link to press coverage</w:t>
            </w:r>
          </w:p>
        </w:tc>
      </w:tr>
      <w:tr w:rsidR="00FE41F1" w:rsidTr="00FE41F1">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bCs/>
                <w:sz w:val="22"/>
                <w:szCs w:val="22"/>
              </w:rPr>
            </w:pPr>
            <w:r w:rsidRPr="000345C4">
              <w:rPr>
                <w:sz w:val="22"/>
                <w:szCs w:val="22"/>
              </w:rPr>
              <w:t xml:space="preserve"/>
            </w:r>
          </w:p>
        </w:tc>
      </w:tr>
    </w:tbl>
    <w:p w:rsidR="00FE41F1" w:rsidRPr="00FE41F1" w:rsidRDefault="00FE41F1" w:rsidP="00FE41F1">
      <w:pPr>
        <w:rPr>
          <w:b/>
          <w:bCs/>
          <w:sz w:val="26"/>
          <w:szCs w:val="26"/>
        </w:rPr>
      </w:pPr>
    </w:p>
    <w:p w:rsidR="00AB2803" w:rsidRDefault="00AB2803" w:rsidP="00AB2803">
      <w:pPr>
        <w:keepNext/>
        <w:jc w:val="center"/>
        <w:rPr>
          <w:b/>
          <w:bCs/>
          <w:u w:val="single"/>
        </w:rPr>
      </w:pPr>
      <w:r>
        <w:rPr>
          <w:b/>
          <w:bCs/>
          <w:u w:val="single"/>
        </w:rPr>
        <w:t xml:space="preserve">IMPORTANT: Please do not exceed one page per deal.</w:t>
      </w:r>
    </w:p>
    <w:p w:rsidR="00FE41F1" w:rsidRDefault="00FE41F1" w:rsidP="00FE41F1">
      <w:pPr>
        <w:keepNext/>
        <w:rPr>
          <w:b/>
          <w:bCs/>
          <w:u w:val="single"/>
        </w:rPr>
      </w:pPr>
    </w:p>
    <w:p w:rsidR="00B9523C" w:rsidRDefault="00B9523C" w:rsidP="00B11E3F">
      <w:pPr>
        <w:keepNext/>
        <w:rPr>
          <w:b/>
          <w:bCs/>
          <w:u w:val="single"/>
        </w:rPr>
      </w:pPr>
    </w:p>
    <w:p w:rsidR="00FE41F1" w:rsidRDefault="00FE41F1">
      <w:pPr>
        <w:widowControl/>
        <w:suppressAutoHyphens w:val="0"/>
        <w:rPr>
          <w:b/>
          <w:bCs/>
          <w:sz w:val="26"/>
          <w:szCs w:val="26"/>
        </w:rPr>
      </w:pPr>
      <w:r>
        <w:rPr>
          <w:b/>
          <w:bCs/>
          <w:sz w:val="26"/>
          <w:szCs w:val="26"/>
        </w:rPr>
        <w:br w:type="page"/>
      </w:r>
    </w:p>
    <w:tbl>
      <w:tblPr>
        <w:tblpPr w:leftFromText="180" w:rightFromText="180" w:vertAnchor="text" w:horzAnchor="margin" w:tblpY="-27"/>
        <w:tblW w:w="9679" w:type="dxa"/>
        <w:tblLayout w:type="fixed"/>
        <w:tblCellMar>
          <w:left w:w="0" w:type="dxa"/>
          <w:right w:w="0" w:type="dxa"/>
        </w:tblCellMar>
        <w:tblLook w:val="0000" w:firstRow="0" w:lastRow="0" w:firstColumn="0" w:lastColumn="0" w:noHBand="0" w:noVBand="0"/>
      </w:tblPr>
      <w:tblGrid>
        <w:gridCol w:w="9639"/>
        <w:gridCol w:w="40"/>
      </w:tblGrid>
      <w:tr w:rsidR="00FE41F1" w:rsidTr="00FE41F1">
        <w:trPr>
          <w:trHeight w:val="345"/>
        </w:trPr>
        <w:tc>
          <w:tcPr>
            <w:tcW w:w="9639" w:type="dxa"/>
            <w:shd w:val="clear" w:color="auto" w:fill="FFFFFF"/>
          </w:tcPr>
          <w:p w:rsidR="00FE41F1" w:rsidRPr="00FE41F1" w:rsidRDefault="00FE41F1" w:rsidP="00FE41F1">
            <w:pPr>
              <w:shd w:val="clear" w:color="auto" w:fill="FFFFFF"/>
              <w:snapToGrid w:val="0"/>
              <w:spacing w:line="360" w:lineRule="auto"/>
              <w:rPr>
                <w:b/>
                <w:bCs/>
                <w:sz w:val="26"/>
                <w:szCs w:val="26"/>
              </w:rPr>
            </w:pPr>
            <w:r>
              <w:rPr>
                <w:b/>
                <w:bCs/>
                <w:sz w:val="26"/>
                <w:szCs w:val="26"/>
              </w:rPr>
              <w:lastRenderedPageBreak/>
              <w:t xml:space="preserve">Confidential Work Highlights in last 12 months </w:t>
            </w:r>
          </w:p>
        </w:tc>
        <w:tc>
          <w:tcPr>
            <w:tcW w:w="40" w:type="dxa"/>
            <w:shd w:val="clear" w:color="auto" w:fill="auto"/>
          </w:tcPr>
          <w:p w:rsidR="00FE41F1" w:rsidRDefault="00FE41F1" w:rsidP="00FE41F1">
            <w:pPr>
              <w:snapToGrid w:val="0"/>
            </w:pPr>
          </w:p>
        </w:tc>
      </w:tr>
      <w:tr w:rsidR="00FE41F1" w:rsidTr="00FE41F1">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FE41F1" w:rsidRDefault="00FE41F1" w:rsidP="00FE41F1">
            <w:pPr>
              <w:snapToGrid w:val="0"/>
              <w:spacing w:line="360" w:lineRule="auto"/>
              <w:jc w:val="center"/>
            </w:pPr>
            <w:r>
              <w:rPr>
                <w:b/>
                <w:bCs/>
                <w:sz w:val="28"/>
                <w:szCs w:val="28"/>
              </w:rPr>
              <w:t xml:space="preserve">Confidential Matter </w:t>
            </w:r>
            <w:r w:rsidRPr="000345C4">
              <w:rPr>
                <w:b/>
                <w:bCs/>
                <w:sz w:val="28"/>
                <w:szCs w:val="28"/>
              </w:rPr>
              <w:t xml:space="preserve">7</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E1 </w:t>
            </w:r>
            <w:r>
              <w:rPr>
                <w:sz w:val="22"/>
                <w:szCs w:val="22"/>
              </w:rPr>
              <w:t>Name of client (for ranking purposes only)</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hd w:val="clear" w:color="auto" w:fill="FFCCCC"/>
              <w:snapToGrid w:val="0"/>
              <w:rPr>
                <w:sz w:val="22"/>
                <w:szCs w:val="22"/>
              </w:rPr>
            </w:pPr>
            <w:r w:rsidRPr="000345C4">
              <w:rPr>
                <w:sz w:val="22"/>
                <w:szCs w:val="22"/>
              </w:rPr>
              <w:t xml:space="preserve">SMBC, S.A.P.I. de C.V., SOFOM, E.N.R. (“SMBC”)</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FE41F1" w:rsidTr="00FE41F1">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t xml:space="preserve">PCG advised </w:t>
                </w:r>
                <w:r>
                  <w:rPr>
                    <w:b/>
                  </w:rPr>
                  <w:t xml:space="preserve">SMBC</w:t>
                </w:r>
                <w:r>
                  <w:t xml:space="preserve"> on the negotiation and structuring of a </w:t>
                </w:r>
                <w:r>
                  <w:rPr>
                    <w:b/>
                  </w:rPr>
                  <w:t xml:space="preserve">Mexican Law</w:t>
                </w:r>
                <w:r>
                  <w:t xml:space="preserve">-governed credit facility (the “Facility”) provided by </w:t>
                </w:r>
                <w:r>
                  <w:rPr>
                    <w:b/>
                  </w:rPr>
                  <w:t xml:space="preserve">SMBC</w:t>
                </w:r>
                <w:r>
                  <w:t xml:space="preserve"> as lender to </w:t>
                </w:r>
                <w:r>
                  <w:rPr>
                    <w:b/>
                  </w:rPr>
                  <w:t xml:space="preserve">GM Financial de México, S.A. de C.V.</w:t>
                </w:r>
                <w:r>
                  <w:t xml:space="preserve"> as borrower, together with all collateral documentation under the Facility.</w:t>
                </w:r>
                <w:r>
                  <w:t xml:space="preserve"/>
                  <w:br/>
                  <w:t xml:space="preserve"/>
                </w:r>
                <w:r>
                  <w:t xml:space="preserve"/>
                  <w:br/>
                  <w:t xml:space="preserve"/>
                </w:r>
                <w:r>
                  <w:t xml:space="preserve"/>
                  <w:br/>
                  <w:t xml:space="preserve"/>
                </w:r>
                <w:r>
                  <w:t xml:space="preserve">The financing amounted to </w:t>
                </w:r>
                <w:r>
                  <w:rPr>
                    <w:b/>
                  </w:rPr>
                  <w:t xml:space="preserve">USD 50,000,000</w:t>
                </w:r>
                <w:r>
                  <w:t xml:space="preserve"> and supported </w:t>
                </w:r>
                <w:r>
                  <w:rPr>
                    <w:b/>
                  </w:rPr>
                  <w:t xml:space="preserve">GM Financial de México, S.A. de C.V.</w:t>
                </w:r>
                <w:r>
                  <w:t xml:space="preserve"> in its automotive financial services operations. The mandate required the team to coordinate facility terms and collateral documentation under </w:t>
                </w:r>
                <w:r>
                  <w:rPr>
                    <w:b/>
                  </w:rPr>
                  <w:t xml:space="preserve">Mexican Law</w:t>
                </w:r>
                <w:r>
                  <w:t xml:space="preserve">, with a particular focus on compliance, enforceability and lender protection.</w:t>
                </w:r>
                <w:r>
                  <w:t xml:space="preserve"/>
                  <w:br/>
                  <w:t xml:space="preserve"/>
                </w:r>
                <w:r>
                  <w:t xml:space="preserve"/>
                  <w:br/>
                  <w:t xml:space="preserve"/>
                </w:r>
                <w:r>
                  <w:t xml:space="preserve"/>
                  <w:br/>
                  <w:t xml:space="preserve"/>
                </w:r>
                <w:r>
                  <w:t xml:space="preserve">PCG advised </w:t>
                </w:r>
                <w:r>
                  <w:rPr>
                    <w:b/>
                  </w:rPr>
                  <w:t xml:space="preserve">SMBC</w:t>
                </w:r>
                <w:r>
                  <w:t xml:space="preserve"> through the negotiation and documentation stages, helping to deliver a structured financing solution with a clear local-law security package. The matter shows the firm’s capability in smaller-scale but still multi-layered cross-border financings for institutional lenders.</w:t>
                </w:r>
              </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E3 </w:t>
            </w:r>
            <w:r>
              <w:rPr>
                <w:sz w:val="22"/>
                <w:szCs w:val="22"/>
              </w:rPr>
              <w:t>Matter value – include currency and amount in figures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USD 50 million</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E5 </w:t>
            </w:r>
            <w:r>
              <w:rPr>
                <w:sz w:val="22"/>
                <w:szCs w:val="22"/>
              </w:rPr>
              <w:t>Lead partner</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E6 </w:t>
            </w:r>
            <w:r>
              <w:rPr>
                <w:sz w:val="22"/>
                <w:szCs w:val="22"/>
              </w:rPr>
              <w:t>Other team members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Eduardo Yrigoyen</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E7 </w:t>
            </w:r>
            <w:r>
              <w:rPr>
                <w:sz w:val="22"/>
                <w:szCs w:val="22"/>
              </w:rPr>
              <w:t>Other firms advising on the matter and their role(s)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iCs/>
                <w:sz w:val="14"/>
                <w:szCs w:val="14"/>
              </w:rPr>
              <w:t xml:space="preserve">E8 </w:t>
            </w:r>
            <w:r>
              <w:rPr>
                <w:iCs/>
                <w:sz w:val="22"/>
                <w:szCs w:val="22"/>
              </w:rPr>
              <w:t>Date of completion or current status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E9 </w:t>
            </w:r>
            <w:r>
              <w:rPr>
                <w:sz w:val="22"/>
                <w:szCs w:val="22"/>
              </w:rPr>
              <w:t>Other information about this matter – e.g. link to press coverage</w:t>
            </w:r>
          </w:p>
        </w:tc>
      </w:tr>
      <w:tr w:rsidR="00FE41F1" w:rsidTr="00FE41F1">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bCs/>
                <w:sz w:val="22"/>
                <w:szCs w:val="22"/>
              </w:rPr>
            </w:pPr>
            <w:r w:rsidRPr="000345C4">
              <w:rPr>
                <w:sz w:val="22"/>
                <w:szCs w:val="22"/>
              </w:rPr>
              <w:t xml:space="preserve"/>
            </w:r>
          </w:p>
        </w:tc>
      </w:tr>
    </w:tbl>
    <w:p w:rsidR="00FE41F1" w:rsidRPr="00FE41F1" w:rsidRDefault="00FE41F1" w:rsidP="00FE41F1">
      <w:pPr>
        <w:rPr>
          <w:b/>
          <w:bCs/>
          <w:sz w:val="26"/>
          <w:szCs w:val="26"/>
        </w:rPr>
      </w:pPr>
    </w:p>
    <w:p w:rsidR="00AB2803" w:rsidRDefault="00AB2803" w:rsidP="00AB2803">
      <w:pPr>
        <w:keepNext/>
        <w:jc w:val="center"/>
        <w:rPr>
          <w:b/>
          <w:bCs/>
          <w:u w:val="single"/>
        </w:rPr>
      </w:pPr>
      <w:r>
        <w:rPr>
          <w:b/>
          <w:bCs/>
          <w:u w:val="single"/>
        </w:rPr>
        <w:t xml:space="preserve">IMPORTANT: Please do not exceed one page per deal.</w:t>
      </w:r>
    </w:p>
    <w:p w:rsidR="00FE41F1" w:rsidRDefault="00FE41F1" w:rsidP="00FE41F1">
      <w:pPr>
        <w:keepNext/>
        <w:rPr>
          <w:b/>
          <w:bCs/>
          <w:u w:val="single"/>
        </w:rPr>
      </w:pPr>
    </w:p>
    <w:p w:rsidR="00B9523C" w:rsidRDefault="00B9523C" w:rsidP="00B11E3F">
      <w:pPr>
        <w:keepNext/>
        <w:rPr>
          <w:b/>
          <w:bCs/>
          <w:u w:val="single"/>
        </w:rPr>
      </w:pPr>
    </w:p>
    <w:p w:rsidR="00FE41F1" w:rsidRDefault="00FE41F1">
      <w:pPr>
        <w:widowControl/>
        <w:suppressAutoHyphens w:val="0"/>
        <w:rPr>
          <w:b/>
          <w:bCs/>
          <w:sz w:val="26"/>
          <w:szCs w:val="26"/>
        </w:rPr>
      </w:pPr>
      <w:r>
        <w:rPr>
          <w:b/>
          <w:bCs/>
          <w:sz w:val="26"/>
          <w:szCs w:val="26"/>
        </w:rPr>
        <w:br w:type="page"/>
      </w:r>
    </w:p>
    <w:tbl>
      <w:tblPr>
        <w:tblpPr w:leftFromText="180" w:rightFromText="180" w:vertAnchor="text" w:horzAnchor="margin" w:tblpY="-27"/>
        <w:tblW w:w="9679" w:type="dxa"/>
        <w:tblLayout w:type="fixed"/>
        <w:tblCellMar>
          <w:left w:w="0" w:type="dxa"/>
          <w:right w:w="0" w:type="dxa"/>
        </w:tblCellMar>
        <w:tblLook w:val="0000" w:firstRow="0" w:lastRow="0" w:firstColumn="0" w:lastColumn="0" w:noHBand="0" w:noVBand="0"/>
      </w:tblPr>
      <w:tblGrid>
        <w:gridCol w:w="9639"/>
        <w:gridCol w:w="40"/>
      </w:tblGrid>
      <w:tr w:rsidR="00FE41F1" w:rsidTr="00FE41F1">
        <w:trPr>
          <w:trHeight w:val="345"/>
        </w:trPr>
        <w:tc>
          <w:tcPr>
            <w:tcW w:w="9639" w:type="dxa"/>
            <w:shd w:val="clear" w:color="auto" w:fill="FFFFFF"/>
          </w:tcPr>
          <w:p w:rsidR="00FE41F1" w:rsidRPr="00FE41F1" w:rsidRDefault="00FE41F1" w:rsidP="00FE41F1">
            <w:pPr>
              <w:shd w:val="clear" w:color="auto" w:fill="FFFFFF"/>
              <w:snapToGrid w:val="0"/>
              <w:spacing w:line="360" w:lineRule="auto"/>
              <w:rPr>
                <w:b/>
                <w:bCs/>
                <w:sz w:val="26"/>
                <w:szCs w:val="26"/>
              </w:rPr>
            </w:pPr>
            <w:r>
              <w:rPr>
                <w:b/>
                <w:bCs/>
                <w:sz w:val="26"/>
                <w:szCs w:val="26"/>
              </w:rPr>
              <w:lastRenderedPageBreak/>
              <w:t xml:space="preserve">Confidential Work Highlights in last 12 months </w:t>
            </w:r>
          </w:p>
        </w:tc>
        <w:tc>
          <w:tcPr>
            <w:tcW w:w="40" w:type="dxa"/>
            <w:shd w:val="clear" w:color="auto" w:fill="auto"/>
          </w:tcPr>
          <w:p w:rsidR="00FE41F1" w:rsidRDefault="00FE41F1" w:rsidP="00FE41F1">
            <w:pPr>
              <w:snapToGrid w:val="0"/>
            </w:pPr>
          </w:p>
        </w:tc>
      </w:tr>
      <w:tr w:rsidR="00FE41F1" w:rsidTr="00FE41F1">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FE41F1" w:rsidRDefault="00FE41F1" w:rsidP="00FE41F1">
            <w:pPr>
              <w:snapToGrid w:val="0"/>
              <w:spacing w:line="360" w:lineRule="auto"/>
              <w:jc w:val="center"/>
            </w:pPr>
            <w:r>
              <w:rPr>
                <w:b/>
                <w:bCs/>
                <w:sz w:val="28"/>
                <w:szCs w:val="28"/>
              </w:rPr>
              <w:t xml:space="preserve">Confidential Matter </w:t>
            </w:r>
            <w:r w:rsidRPr="000345C4">
              <w:rPr>
                <w:b/>
                <w:bCs/>
                <w:sz w:val="28"/>
                <w:szCs w:val="28"/>
              </w:rPr>
              <w:t xml:space="preserve">8</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E1 </w:t>
            </w:r>
            <w:r>
              <w:rPr>
                <w:sz w:val="22"/>
                <w:szCs w:val="22"/>
              </w:rPr>
              <w:t>Name of client (for ranking purposes only)</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hd w:val="clear" w:color="auto" w:fill="FFCCCC"/>
              <w:snapToGrid w:val="0"/>
              <w:rPr>
                <w:sz w:val="22"/>
                <w:szCs w:val="22"/>
              </w:rPr>
            </w:pPr>
            <w:r w:rsidRPr="000345C4">
              <w:rPr>
                <w:sz w:val="22"/>
                <w:szCs w:val="22"/>
              </w:rPr>
              <w:t xml:space="preserve">SMBC, S.A.P.I. de C.V., SOFOM, E.N.R. (“SMBC”)</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FE41F1" w:rsidTr="00FE41F1">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t xml:space="preserve">PCG advised </w:t>
                </w:r>
                <w:r>
                  <w:rPr>
                    <w:b/>
                  </w:rPr>
                  <w:t xml:space="preserve">SMBC</w:t>
                </w:r>
                <w:r>
                  <w:t xml:space="preserve"> on the negotiation and structuring of a </w:t>
                </w:r>
                <w:r>
                  <w:rPr>
                    <w:b/>
                  </w:rPr>
                  <w:t xml:space="preserve">Mexican law</w:t>
                </w:r>
                <w:r>
                  <w:t xml:space="preserve">-governed credit facility (the </w:t>
                </w:r>
                <w:r>
                  <w:rPr>
                    <w:b/>
                  </w:rPr>
                  <w:t xml:space="preserve">Facility</w:t>
                </w:r>
                <w:r>
                  <w:t xml:space="preserve">) extended by </w:t>
                </w:r>
                <w:r>
                  <w:rPr>
                    <w:b/>
                  </w:rPr>
                  <w:t xml:space="preserve">SMBC</w:t>
                </w:r>
                <w:r>
                  <w:t xml:space="preserve">, as lender, to </w:t>
                </w:r>
                <w:r>
                  <w:rPr>
                    <w:b/>
                  </w:rPr>
                  <w:t xml:space="preserve">Toyota Financial Services México, S.A. de C.V.</w:t>
                </w:r>
                <w:r>
                  <w:t xml:space="preserve">, as borrower, together with the related collateral documentation.</w:t>
                </w:r>
                <w:r>
                  <w:t xml:space="preserve"/>
                  <w:br/>
                  <w:t xml:space="preserve"/>
                </w:r>
                <w:r>
                  <w:t xml:space="preserve"/>
                  <w:br/>
                  <w:t xml:space="preserve"/>
                </w:r>
                <w:r>
                  <w:t xml:space="preserve"/>
                  <w:br/>
                  <w:t xml:space="preserve"/>
                </w:r>
                <w:r>
                  <w:t xml:space="preserve">The transaction secured a </w:t>
                </w:r>
                <w:r>
                  <w:rPr>
                    <w:b/>
                  </w:rPr>
                  <w:t xml:space="preserve">USD 45 million</w:t>
                </w:r>
                <w:r>
                  <w:t xml:space="preserve"> facility for </w:t>
                </w:r>
                <w:r>
                  <w:rPr>
                    <w:b/>
                  </w:rPr>
                  <w:t xml:space="preserve">Toyota Financial Services México, S.A. de C.V.</w:t>
                </w:r>
                <w:r>
                  <w:t xml:space="preserve">, strengthening its capacity to provide financing solutions to Toyota customers in Mexico. PCG orchestrated the cross-border structuring and documentation, with particular focus on aligning the collateral package with </w:t>
                </w:r>
                <w:r>
                  <w:rPr>
                    <w:b/>
                  </w:rPr>
                  <w:t xml:space="preserve">Mexican regulations</w:t>
                </w:r>
                <w:r>
                  <w:t xml:space="preserve"> and reinforcing the lender’s position.</w:t>
                </w:r>
                <w:r>
                  <w:t xml:space="preserve"/>
                  <w:br/>
                  <w:t xml:space="preserve"/>
                </w:r>
                <w:r>
                  <w:t xml:space="preserve"/>
                  <w:br/>
                  <w:t xml:space="preserve"/>
                </w:r>
                <w:r>
                  <w:t xml:space="preserve"/>
                  <w:br/>
                  <w:t xml:space="preserve"/>
                </w:r>
                <w:r>
                  <w:t xml:space="preserve">The mandate required close coordination across financing, security and local-law issues, given the facility size and the need to balance lender protections with the borrower’s commercial objectives. PCG’s role demonstrates its ability to manage mid-market, cross-border lending transactions with technical precision and pragmatic execution.</w:t>
                </w:r>
              </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E3 </w:t>
            </w:r>
            <w:r>
              <w:rPr>
                <w:sz w:val="22"/>
                <w:szCs w:val="22"/>
              </w:rPr>
              <w:t>Matter value – include currency and amount in figures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USD 45 million</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E5 </w:t>
            </w:r>
            <w:r>
              <w:rPr>
                <w:sz w:val="22"/>
                <w:szCs w:val="22"/>
              </w:rPr>
              <w:t>Lead partner</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E6 </w:t>
            </w:r>
            <w:r>
              <w:rPr>
                <w:sz w:val="22"/>
                <w:szCs w:val="22"/>
              </w:rPr>
              <w:t>Other team members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Eduardo Yrigoyen</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E7 </w:t>
            </w:r>
            <w:r>
              <w:rPr>
                <w:sz w:val="22"/>
                <w:szCs w:val="22"/>
              </w:rPr>
              <w:t>Other firms advising on the matter and their role(s)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iCs/>
                <w:sz w:val="14"/>
                <w:szCs w:val="14"/>
              </w:rPr>
              <w:t xml:space="preserve">E8 </w:t>
            </w:r>
            <w:r>
              <w:rPr>
                <w:iCs/>
                <w:sz w:val="22"/>
                <w:szCs w:val="22"/>
              </w:rPr>
              <w:t>Date of completion or current status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E9 </w:t>
            </w:r>
            <w:r>
              <w:rPr>
                <w:sz w:val="22"/>
                <w:szCs w:val="22"/>
              </w:rPr>
              <w:t>Other information about this matter – e.g. link to press coverage</w:t>
            </w:r>
          </w:p>
        </w:tc>
      </w:tr>
      <w:tr w:rsidR="00FE41F1" w:rsidTr="00FE41F1">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bCs/>
                <w:sz w:val="22"/>
                <w:szCs w:val="22"/>
              </w:rPr>
            </w:pPr>
            <w:r w:rsidRPr="000345C4">
              <w:rPr>
                <w:sz w:val="22"/>
                <w:szCs w:val="22"/>
              </w:rPr>
              <w:t xml:space="preserve"/>
            </w:r>
          </w:p>
        </w:tc>
      </w:tr>
    </w:tbl>
    <w:p w:rsidR="00FE41F1" w:rsidRPr="00FE41F1" w:rsidRDefault="00FE41F1" w:rsidP="00FE41F1">
      <w:pPr>
        <w:rPr>
          <w:b/>
          <w:bCs/>
          <w:sz w:val="26"/>
          <w:szCs w:val="26"/>
        </w:rPr>
      </w:pPr>
    </w:p>
    <w:p w:rsidR="00AB2803" w:rsidRDefault="00AB2803" w:rsidP="00AB2803">
      <w:pPr>
        <w:keepNext/>
        <w:jc w:val="center"/>
        <w:rPr>
          <w:b/>
          <w:bCs/>
          <w:u w:val="single"/>
        </w:rPr>
      </w:pPr>
      <w:r>
        <w:rPr>
          <w:b/>
          <w:bCs/>
          <w:u w:val="single"/>
        </w:rPr>
        <w:t xml:space="preserve">IMPORTANT: Please do not exceed one page per deal.</w:t>
      </w:r>
    </w:p>
    <w:p w:rsidR="00FE41F1" w:rsidRDefault="00FE41F1" w:rsidP="00FE41F1">
      <w:pPr>
        <w:keepNext/>
        <w:rPr>
          <w:b/>
          <w:bCs/>
          <w:u w:val="single"/>
        </w:rPr>
      </w:pPr>
    </w:p>
    <w:p w:rsidR="00B9523C" w:rsidRDefault="00B9523C" w:rsidP="00B11E3F">
      <w:pPr>
        <w:keepNext/>
        <w:rPr>
          <w:b/>
          <w:bCs/>
          <w:u w:val="single"/>
        </w:rPr>
      </w:pPr>
    </w:p>
    <w:p w:rsidR="00FE41F1" w:rsidRDefault="00FE41F1">
      <w:pPr>
        <w:widowControl/>
        <w:suppressAutoHyphens w:val="0"/>
        <w:rPr>
          <w:b/>
          <w:bCs/>
          <w:sz w:val="26"/>
          <w:szCs w:val="26"/>
        </w:rPr>
      </w:pPr>
      <w:r>
        <w:rPr>
          <w:b/>
          <w:bCs/>
          <w:sz w:val="26"/>
          <w:szCs w:val="26"/>
        </w:rPr>
        <w:br w:type="page"/>
      </w:r>
    </w:p>
    <w:tbl>
      <w:tblPr>
        <w:tblpPr w:leftFromText="180" w:rightFromText="180" w:vertAnchor="text" w:horzAnchor="margin" w:tblpY="-27"/>
        <w:tblW w:w="9679" w:type="dxa"/>
        <w:tblLayout w:type="fixed"/>
        <w:tblCellMar>
          <w:left w:w="0" w:type="dxa"/>
          <w:right w:w="0" w:type="dxa"/>
        </w:tblCellMar>
        <w:tblLook w:val="0000" w:firstRow="0" w:lastRow="0" w:firstColumn="0" w:lastColumn="0" w:noHBand="0" w:noVBand="0"/>
      </w:tblPr>
      <w:tblGrid>
        <w:gridCol w:w="9639"/>
        <w:gridCol w:w="40"/>
      </w:tblGrid>
      <w:tr w:rsidR="00FE41F1" w:rsidTr="00FE41F1">
        <w:trPr>
          <w:trHeight w:val="345"/>
        </w:trPr>
        <w:tc>
          <w:tcPr>
            <w:tcW w:w="9639" w:type="dxa"/>
            <w:shd w:val="clear" w:color="auto" w:fill="FFFFFF"/>
          </w:tcPr>
          <w:p w:rsidR="00FE41F1" w:rsidRPr="00FE41F1" w:rsidRDefault="00FE41F1" w:rsidP="00FE41F1">
            <w:pPr>
              <w:shd w:val="clear" w:color="auto" w:fill="FFFFFF"/>
              <w:snapToGrid w:val="0"/>
              <w:spacing w:line="360" w:lineRule="auto"/>
              <w:rPr>
                <w:b/>
                <w:bCs/>
                <w:sz w:val="26"/>
                <w:szCs w:val="26"/>
              </w:rPr>
            </w:pPr>
            <w:r>
              <w:rPr>
                <w:b/>
                <w:bCs/>
                <w:sz w:val="26"/>
                <w:szCs w:val="26"/>
              </w:rPr>
              <w:lastRenderedPageBreak/>
              <w:t xml:space="preserve">Confidential Work Highlights in last 12 months </w:t>
            </w:r>
          </w:p>
        </w:tc>
        <w:tc>
          <w:tcPr>
            <w:tcW w:w="40" w:type="dxa"/>
            <w:shd w:val="clear" w:color="auto" w:fill="auto"/>
          </w:tcPr>
          <w:p w:rsidR="00FE41F1" w:rsidRDefault="00FE41F1" w:rsidP="00FE41F1">
            <w:pPr>
              <w:snapToGrid w:val="0"/>
            </w:pPr>
          </w:p>
        </w:tc>
      </w:tr>
      <w:tr w:rsidR="00FE41F1" w:rsidTr="00FE41F1">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FE41F1" w:rsidRDefault="00FE41F1" w:rsidP="00FE41F1">
            <w:pPr>
              <w:snapToGrid w:val="0"/>
              <w:spacing w:line="360" w:lineRule="auto"/>
              <w:jc w:val="center"/>
            </w:pPr>
            <w:r>
              <w:rPr>
                <w:b/>
                <w:bCs/>
                <w:sz w:val="28"/>
                <w:szCs w:val="28"/>
              </w:rPr>
              <w:t xml:space="preserve">Confidential Matter </w:t>
            </w:r>
            <w:r w:rsidRPr="000345C4">
              <w:rPr>
                <w:b/>
                <w:bCs/>
                <w:sz w:val="28"/>
                <w:szCs w:val="28"/>
              </w:rPr>
              <w:t xml:space="preserve">9</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E1 </w:t>
            </w:r>
            <w:r>
              <w:rPr>
                <w:sz w:val="22"/>
                <w:szCs w:val="22"/>
              </w:rPr>
              <w:t>Name of client (for ranking purposes only)</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hd w:val="clear" w:color="auto" w:fill="FFCCCC"/>
              <w:snapToGrid w:val="0"/>
              <w:rPr>
                <w:sz w:val="22"/>
                <w:szCs w:val="22"/>
              </w:rPr>
            </w:pPr>
            <w:r w:rsidRPr="000345C4">
              <w:rPr>
                <w:sz w:val="22"/>
                <w:szCs w:val="22"/>
              </w:rPr>
              <w:t xml:space="preserve">Banco Interamericano de Desarrollo (“IDB”)</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FE41F1" w:rsidTr="00FE41F1">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t xml:space="preserve">PCG advised </w:t>
                </w:r>
                <w:r>
                  <w:rPr>
                    <w:b/>
                  </w:rPr>
                  <w:t xml:space="preserve">IDB</w:t>
                </w:r>
                <w:r>
                  <w:t xml:space="preserve"> as lender on the due diligence, negotiation and structuring of a </w:t>
                </w:r>
                <w:r>
                  <w:rPr>
                    <w:b/>
                  </w:rPr>
                  <w:t xml:space="preserve">New York law</w:t>
                </w:r>
                <w:r>
                  <w:t xml:space="preserve">-governed credit facility in the amount of </w:t>
                </w:r>
                <w:r>
                  <w:rPr>
                    <w:b/>
                  </w:rPr>
                  <w:t xml:space="preserve">USD 35,000,000</w:t>
                </w:r>
                <w:r>
                  <w:t xml:space="preserve"> in favour of </w:t>
                </w:r>
                <w:r>
                  <w:rPr>
                    <w:b/>
                  </w:rPr>
                  <w:t xml:space="preserve">Prize Holding Chile SpA</w:t>
                </w:r>
                <w:r>
                  <w:t xml:space="preserve">, </w:t>
                </w:r>
                <w:r>
                  <w:rPr>
                    <w:b/>
                  </w:rPr>
                  <w:t xml:space="preserve">Exportadora Prize S.A.</w:t>
                </w:r>
                <w:r>
                  <w:t xml:space="preserve">, </w:t>
                </w:r>
                <w:r>
                  <w:rPr>
                    <w:b/>
                  </w:rPr>
                  <w:t xml:space="preserve">Agroinvest SpA</w:t>
                </w:r>
                <w:r>
                  <w:t xml:space="preserve">, </w:t>
                </w:r>
                <w:r>
                  <w:rPr>
                    <w:b/>
                  </w:rPr>
                  <w:t xml:space="preserve">Proservice Bio Bio SpA</w:t>
                </w:r>
                <w:r>
                  <w:t xml:space="preserve">, </w:t>
                </w:r>
                <w:r>
                  <w:rPr>
                    <w:b/>
                  </w:rPr>
                  <w:t xml:space="preserve">Prize Proservice SpA</w:t>
                </w:r>
                <w:r>
                  <w:t xml:space="preserve">, </w:t>
                </w:r>
                <w:r>
                  <w:rPr>
                    <w:b/>
                  </w:rPr>
                  <w:t xml:space="preserve">Aqu Anqa II S.A.C.</w:t>
                </w:r>
                <w:r>
                  <w:t xml:space="preserve"> and </w:t>
                </w:r>
                <w:r>
                  <w:rPr>
                    <w:b/>
                  </w:rPr>
                  <w:t xml:space="preserve">Prize Agro Mex S.A. de C.V.</w:t>
                </w:r>
                <w:r>
                  <w:t xml:space="preserve"> as borrowers, together with the negotiation and structuring of the related </w:t>
                </w:r>
                <w:r>
                  <w:rPr>
                    <w:b/>
                  </w:rPr>
                  <w:t xml:space="preserve">Mexican</w:t>
                </w:r>
                <w:r>
                  <w:t xml:space="preserve"> collateral documentation.</w:t>
                </w:r>
                <w:r>
                  <w:t xml:space="preserve"/>
                  <w:br/>
                  <w:t xml:space="preserve"/>
                </w:r>
                <w:r>
                  <w:t xml:space="preserve"/>
                  <w:br/>
                  <w:t xml:space="preserve"/>
                </w:r>
                <w:r>
                  <w:t xml:space="preserve"/>
                  <w:br/>
                  <w:t xml:space="preserve"/>
                </w:r>
                <w:r>
                  <w:t xml:space="preserve">The proceeds are to finance the growth, harvesting and commercialisation of superfoods, including berries, nuts and multifruit. PCG conducted diligence on the borrower group, structured the facility to reflect the lender’s risk appetite, and drafted the loan and security documentation to support enforceability and compliance across the relevant jurisdictions.</w:t>
                </w:r>
                <w:r>
                  <w:t xml:space="preserve"/>
                  <w:br/>
                  <w:t xml:space="preserve"/>
                </w:r>
                <w:r>
                  <w:t xml:space="preserve"/>
                  <w:br/>
                  <w:t xml:space="preserve"/>
                </w:r>
                <w:r>
                  <w:t xml:space="preserve"/>
                  <w:br/>
                  <w:t xml:space="preserve"/>
                </w:r>
                <w:r>
                  <w:t xml:space="preserve">The mandate required coordination between </w:t>
                </w:r>
                <w:r>
                  <w:rPr>
                    <w:b/>
                  </w:rPr>
                  <w:t xml:space="preserve">New York law</w:t>
                </w:r>
                <w:r>
                  <w:t xml:space="preserve"> finance terms and </w:t>
                </w:r>
                <w:r>
                  <w:rPr>
                    <w:b/>
                  </w:rPr>
                  <w:t xml:space="preserve">Mexican</w:t>
                </w:r>
                <w:r>
                  <w:t xml:space="preserve"> security arrangements, with particular attention to the borrower group’s operating structure and the agricultural use of proceeds. PCG’s role evidences a steady cross-border financing practice capable of supporting sector-specific lending in Latin America.</w:t>
                </w:r>
              </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E3 </w:t>
            </w:r>
            <w:r>
              <w:rPr>
                <w:sz w:val="22"/>
                <w:szCs w:val="22"/>
              </w:rPr>
              <w:t>Matter value – include currency and amount in figures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USD 35 million</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Yes: USA, Chile, Mexico and Peru.</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E5 </w:t>
            </w:r>
            <w:r>
              <w:rPr>
                <w:sz w:val="22"/>
                <w:szCs w:val="22"/>
              </w:rPr>
              <w:t>Lead partner</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E6 </w:t>
            </w:r>
            <w:r>
              <w:rPr>
                <w:sz w:val="22"/>
                <w:szCs w:val="22"/>
              </w:rPr>
              <w:t>Other team members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Eduardo Yrigoyen</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E7 </w:t>
            </w:r>
            <w:r>
              <w:rPr>
                <w:sz w:val="22"/>
                <w:szCs w:val="22"/>
              </w:rPr>
              <w:t>Other firms advising on the matter and their role(s)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iCs/>
                <w:sz w:val="14"/>
                <w:szCs w:val="14"/>
              </w:rPr>
              <w:t xml:space="preserve">E8 </w:t>
            </w:r>
            <w:r>
              <w:rPr>
                <w:iCs/>
                <w:sz w:val="22"/>
                <w:szCs w:val="22"/>
              </w:rPr>
              <w:t>Date of completion or current status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E9 </w:t>
            </w:r>
            <w:r>
              <w:rPr>
                <w:sz w:val="22"/>
                <w:szCs w:val="22"/>
              </w:rPr>
              <w:t>Other information about this matter – e.g. link to press coverage</w:t>
            </w:r>
          </w:p>
        </w:tc>
      </w:tr>
      <w:tr w:rsidR="00FE41F1" w:rsidTr="00FE41F1">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bCs/>
                <w:sz w:val="22"/>
                <w:szCs w:val="22"/>
              </w:rPr>
            </w:pPr>
            <w:r w:rsidRPr="000345C4">
              <w:rPr>
                <w:sz w:val="22"/>
                <w:szCs w:val="22"/>
              </w:rPr>
              <w:t xml:space="preserve"/>
            </w:r>
          </w:p>
        </w:tc>
      </w:tr>
    </w:tbl>
    <w:p w:rsidR="00FE41F1" w:rsidRPr="00FE41F1" w:rsidRDefault="00FE41F1" w:rsidP="00FE41F1">
      <w:pPr>
        <w:rPr>
          <w:b/>
          <w:bCs/>
          <w:sz w:val="26"/>
          <w:szCs w:val="26"/>
        </w:rPr>
      </w:pPr>
    </w:p>
    <w:p w:rsidR="00AB2803" w:rsidRDefault="00AB2803" w:rsidP="00AB2803">
      <w:pPr>
        <w:keepNext/>
        <w:jc w:val="center"/>
        <w:rPr>
          <w:b/>
          <w:bCs/>
          <w:u w:val="single"/>
        </w:rPr>
      </w:pPr>
      <w:r>
        <w:rPr>
          <w:b/>
          <w:bCs/>
          <w:u w:val="single"/>
        </w:rPr>
        <w:t xml:space="preserve">IMPORTANT: Please do not exceed one page per deal.</w:t>
      </w:r>
    </w:p>
    <w:p w:rsidR="00FE41F1" w:rsidRDefault="00FE41F1" w:rsidP="00FE41F1">
      <w:pPr>
        <w:keepNext/>
        <w:rPr>
          <w:b/>
          <w:bCs/>
          <w:u w:val="single"/>
        </w:rPr>
      </w:pPr>
    </w:p>
    <w:p w:rsidR="00B9523C" w:rsidRDefault="00B9523C" w:rsidP="00B11E3F">
      <w:pPr>
        <w:keepNext/>
        <w:rPr>
          <w:b/>
          <w:bCs/>
          <w:u w:val="single"/>
        </w:rPr>
      </w:pPr>
    </w:p>
    <w:p w:rsidR="00FE41F1" w:rsidRDefault="00FE41F1">
      <w:pPr>
        <w:widowControl/>
        <w:suppressAutoHyphens w:val="0"/>
        <w:rPr>
          <w:b/>
          <w:bCs/>
          <w:sz w:val="26"/>
          <w:szCs w:val="26"/>
        </w:rPr>
      </w:pPr>
      <w:r>
        <w:rPr>
          <w:b/>
          <w:bCs/>
          <w:sz w:val="26"/>
          <w:szCs w:val="26"/>
        </w:rPr>
        <w:br w:type="page"/>
      </w:r>
    </w:p>
    <w:tbl>
      <w:tblPr>
        <w:tblpPr w:leftFromText="180" w:rightFromText="180" w:vertAnchor="text" w:horzAnchor="margin" w:tblpY="-27"/>
        <w:tblW w:w="9679" w:type="dxa"/>
        <w:tblLayout w:type="fixed"/>
        <w:tblCellMar>
          <w:left w:w="0" w:type="dxa"/>
          <w:right w:w="0" w:type="dxa"/>
        </w:tblCellMar>
        <w:tblLook w:val="0000" w:firstRow="0" w:lastRow="0" w:firstColumn="0" w:lastColumn="0" w:noHBand="0" w:noVBand="0"/>
      </w:tblPr>
      <w:tblGrid>
        <w:gridCol w:w="9639"/>
        <w:gridCol w:w="40"/>
      </w:tblGrid>
      <w:tr w:rsidR="00FE41F1" w:rsidTr="00FE41F1">
        <w:trPr>
          <w:trHeight w:val="345"/>
        </w:trPr>
        <w:tc>
          <w:tcPr>
            <w:tcW w:w="9639" w:type="dxa"/>
            <w:shd w:val="clear" w:color="auto" w:fill="FFFFFF"/>
          </w:tcPr>
          <w:p w:rsidR="00FE41F1" w:rsidRPr="00FE41F1" w:rsidRDefault="00FE41F1" w:rsidP="00FE41F1">
            <w:pPr>
              <w:shd w:val="clear" w:color="auto" w:fill="FFFFFF"/>
              <w:snapToGrid w:val="0"/>
              <w:spacing w:line="360" w:lineRule="auto"/>
              <w:rPr>
                <w:b/>
                <w:bCs/>
                <w:sz w:val="26"/>
                <w:szCs w:val="26"/>
              </w:rPr>
            </w:pPr>
            <w:r>
              <w:rPr>
                <w:b/>
                <w:bCs/>
                <w:sz w:val="26"/>
                <w:szCs w:val="26"/>
              </w:rPr>
              <w:lastRenderedPageBreak/>
              <w:t xml:space="preserve">Confidential Work Highlights in last 12 months </w:t>
            </w:r>
          </w:p>
        </w:tc>
        <w:tc>
          <w:tcPr>
            <w:tcW w:w="40" w:type="dxa"/>
            <w:shd w:val="clear" w:color="auto" w:fill="auto"/>
          </w:tcPr>
          <w:p w:rsidR="00FE41F1" w:rsidRDefault="00FE41F1" w:rsidP="00FE41F1">
            <w:pPr>
              <w:snapToGrid w:val="0"/>
            </w:pPr>
          </w:p>
        </w:tc>
      </w:tr>
      <w:tr w:rsidR="00FE41F1" w:rsidTr="00FE41F1">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FE41F1" w:rsidRDefault="00FE41F1" w:rsidP="00FE41F1">
            <w:pPr>
              <w:snapToGrid w:val="0"/>
              <w:spacing w:line="360" w:lineRule="auto"/>
              <w:jc w:val="center"/>
            </w:pPr>
            <w:r>
              <w:rPr>
                <w:b/>
                <w:bCs/>
                <w:sz w:val="28"/>
                <w:szCs w:val="28"/>
              </w:rPr>
              <w:t xml:space="preserve">Confidential Matter </w:t>
            </w:r>
            <w:r w:rsidRPr="000345C4">
              <w:rPr>
                <w:b/>
                <w:bCs/>
                <w:sz w:val="28"/>
                <w:szCs w:val="28"/>
              </w:rPr>
              <w:t xml:space="preserve">10</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E1 </w:t>
            </w:r>
            <w:r>
              <w:rPr>
                <w:sz w:val="22"/>
                <w:szCs w:val="22"/>
              </w:rPr>
              <w:t>Name of client (for ranking purposes only)</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hd w:val="clear" w:color="auto" w:fill="FFCCCC"/>
              <w:snapToGrid w:val="0"/>
              <w:rPr>
                <w:sz w:val="22"/>
                <w:szCs w:val="22"/>
              </w:rPr>
            </w:pPr>
            <w:r w:rsidRPr="000345C4">
              <w:rPr>
                <w:sz w:val="22"/>
                <w:szCs w:val="22"/>
              </w:rPr>
              <w:t xml:space="preserve">Stereorey México</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FE41F1" w:rsidTr="00FE41F1">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t xml:space="preserve">Pérez Correa González advised </w:t>
                </w:r>
                <w:r>
                  <w:rPr>
                    <w:b/>
                  </w:rPr>
                  <w:t xml:space="preserve">Stereorey México, S.A.</w:t>
                </w:r>
                <w:r>
                  <w:t xml:space="preserve"> on a </w:t>
                </w:r>
                <w:r>
                  <w:rPr>
                    <w:b/>
                  </w:rPr>
                  <w:t xml:space="preserve">MXN 500 million</w:t>
                </w:r>
                <w:r>
                  <w:t xml:space="preserve"> syndicated loan facility arranged by </w:t>
                </w:r>
                <w:r>
                  <w:rPr>
                    <w:b/>
                  </w:rPr>
                  <w:t xml:space="preserve">HSBC México</w:t>
                </w:r>
                <w:r>
                  <w:t xml:space="preserve"> and </w:t>
                </w:r>
                <w:r>
                  <w:rPr>
                    <w:b/>
                  </w:rPr>
                  <w:t xml:space="preserve">Banco Ve por Más</w:t>
                </w:r>
                <w:r>
                  <w:t xml:space="preserve"> as joint lenders.</w:t>
                </w:r>
                <w:r>
                  <w:t xml:space="preserve"/>
                  <w:br/>
                  <w:t xml:space="preserve"/>
                </w:r>
                <w:r>
                  <w:t xml:space="preserve"/>
                  <w:br/>
                  <w:t xml:space="preserve"/>
                </w:r>
                <w:r>
                  <w:t xml:space="preserve"/>
                  <w:br/>
                  <w:t xml:space="preserve"/>
                </w:r>
                <w:r>
                  <w:t xml:space="preserve">The financing was structured to support </w:t>
                </w:r>
                <w:r>
                  <w:rPr>
                    <w:b/>
                  </w:rPr>
                  <w:t xml:space="preserve">Stereorey México, S.A.</w:t>
                </w:r>
                <w:r>
                  <w:t xml:space="preserve">’s operational and investment objectives in Mexico. PCG assisted with the negotiation of the syndicated terms, the coordination of the security package and the management of timing sensitivities inherent in a multi-bank process.</w:t>
                </w:r>
                <w:r>
                  <w:t xml:space="preserve"/>
                  <w:br/>
                  <w:t xml:space="preserve"/>
                </w:r>
                <w:r>
                  <w:t xml:space="preserve"/>
                  <w:br/>
                  <w:t xml:space="preserve"/>
                </w:r>
                <w:r>
                  <w:t xml:space="preserve"/>
                  <w:br/>
                  <w:t xml:space="preserve"/>
                </w:r>
                <w:r>
                  <w:t xml:space="preserve">The matter required careful alignment of lender documentation, regulatory considerations and borrower protections, particularly because the facility involved two banking institutions with distinct internal processes. PCG’s work reflects practical experience in domestic syndicated lending and in advising corporate borrowers on bank financing arrangements in Mexico.</w:t>
                </w:r>
              </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E3 </w:t>
            </w:r>
            <w:r>
              <w:rPr>
                <w:sz w:val="22"/>
                <w:szCs w:val="22"/>
              </w:rPr>
              <w:t>Matter value – include currency and amount in figures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USD 24 million</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E5 </w:t>
            </w:r>
            <w:r>
              <w:rPr>
                <w:sz w:val="22"/>
                <w:szCs w:val="22"/>
              </w:rPr>
              <w:t>Lead partner</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E6 </w:t>
            </w:r>
            <w:r>
              <w:rPr>
                <w:sz w:val="22"/>
                <w:szCs w:val="22"/>
              </w:rPr>
              <w:t>Other team members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N/A</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E7 </w:t>
            </w:r>
            <w:r>
              <w:rPr>
                <w:sz w:val="22"/>
                <w:szCs w:val="22"/>
              </w:rPr>
              <w:t>Other firms advising on the matter and their role(s)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iCs/>
                <w:sz w:val="14"/>
                <w:szCs w:val="14"/>
              </w:rPr>
              <w:t xml:space="preserve">E8 </w:t>
            </w:r>
            <w:r>
              <w:rPr>
                <w:iCs/>
                <w:sz w:val="22"/>
                <w:szCs w:val="22"/>
              </w:rPr>
              <w:t>Date of completion or current status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E9 </w:t>
            </w:r>
            <w:r>
              <w:rPr>
                <w:sz w:val="22"/>
                <w:szCs w:val="22"/>
              </w:rPr>
              <w:t>Other information about this matter – e.g. link to press coverage</w:t>
            </w:r>
          </w:p>
        </w:tc>
      </w:tr>
      <w:tr w:rsidR="00FE41F1" w:rsidTr="00FE41F1">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bCs/>
                <w:sz w:val="22"/>
                <w:szCs w:val="22"/>
              </w:rPr>
            </w:pPr>
            <w:r w:rsidRPr="000345C4">
              <w:rPr>
                <w:sz w:val="22"/>
                <w:szCs w:val="22"/>
              </w:rPr>
              <w:t xml:space="preserve"/>
            </w:r>
          </w:p>
        </w:tc>
      </w:tr>
    </w:tbl>
    <w:p w:rsidR="00FE41F1" w:rsidRPr="00FE41F1" w:rsidRDefault="00FE41F1" w:rsidP="00FE41F1">
      <w:pPr>
        <w:rPr>
          <w:b/>
          <w:bCs/>
          <w:sz w:val="26"/>
          <w:szCs w:val="26"/>
        </w:rPr>
      </w:pPr>
    </w:p>
    <w:p w:rsidR="00AB2803" w:rsidRDefault="00AB2803" w:rsidP="00AB2803">
      <w:pPr>
        <w:keepNext/>
        <w:jc w:val="center"/>
        <w:rPr>
          <w:b/>
          <w:bCs/>
          <w:u w:val="single"/>
        </w:rPr>
      </w:pPr>
      <w:r>
        <w:rPr>
          <w:b/>
          <w:bCs/>
          <w:u w:val="single"/>
        </w:rPr>
        <w:t xml:space="preserve">IMPORTANT: Please do not exceed one page per deal.</w:t>
      </w:r>
    </w:p>
    <w:p w:rsidR="00FE41F1" w:rsidRDefault="00FE41F1" w:rsidP="00FE41F1">
      <w:pPr>
        <w:keepNext/>
        <w:rPr>
          <w:b/>
          <w:bCs/>
          <w:u w:val="single"/>
        </w:rPr>
      </w:pPr>
    </w:p>
    <w:p w:rsidR="00B9523C" w:rsidRDefault="00B9523C" w:rsidP="00B11E3F">
      <w:pPr>
        <w:keepNext/>
        <w:rPr>
          <w:b/>
          <w:bCs/>
          <w:u w:val="single"/>
        </w:rPr>
      </w:pPr>
    </w:p>
    <w:p w:rsidR="00FE41F1" w:rsidRDefault="00FE41F1">
      <w:pPr>
        <w:widowControl/>
        <w:suppressAutoHyphens w:val="0"/>
        <w:rPr>
          <w:b/>
          <w:bCs/>
          <w:sz w:val="26"/>
          <w:szCs w:val="26"/>
        </w:rPr>
      </w:pPr>
      <w:r>
        <w:rPr>
          <w:b/>
          <w:bCs/>
          <w:sz w:val="26"/>
          <w:szCs w:val="26"/>
        </w:rPr>
        <w:br w:type="page"/>
      </w:r>
    </w:p>
    <w:tbl>
      <w:tblPr>
        <w:tblpPr w:leftFromText="180" w:rightFromText="180" w:vertAnchor="text" w:horzAnchor="margin" w:tblpY="-27"/>
        <w:tblW w:w="9679" w:type="dxa"/>
        <w:tblLayout w:type="fixed"/>
        <w:tblCellMar>
          <w:left w:w="0" w:type="dxa"/>
          <w:right w:w="0" w:type="dxa"/>
        </w:tblCellMar>
        <w:tblLook w:val="0000" w:firstRow="0" w:lastRow="0" w:firstColumn="0" w:lastColumn="0" w:noHBand="0" w:noVBand="0"/>
      </w:tblPr>
      <w:tblGrid>
        <w:gridCol w:w="9639"/>
        <w:gridCol w:w="40"/>
      </w:tblGrid>
      <w:tr w:rsidR="00FE41F1" w:rsidTr="00FE41F1">
        <w:trPr>
          <w:trHeight w:val="345"/>
        </w:trPr>
        <w:tc>
          <w:tcPr>
            <w:tcW w:w="9639" w:type="dxa"/>
            <w:shd w:val="clear" w:color="auto" w:fill="FFFFFF"/>
          </w:tcPr>
          <w:p w:rsidR="00FE41F1" w:rsidRPr="00FE41F1" w:rsidRDefault="00FE41F1" w:rsidP="00FE41F1">
            <w:pPr>
              <w:shd w:val="clear" w:color="auto" w:fill="FFFFFF"/>
              <w:snapToGrid w:val="0"/>
              <w:spacing w:line="360" w:lineRule="auto"/>
              <w:rPr>
                <w:b/>
                <w:bCs/>
                <w:sz w:val="26"/>
                <w:szCs w:val="26"/>
              </w:rPr>
            </w:pPr>
            <w:r>
              <w:rPr>
                <w:b/>
                <w:bCs/>
                <w:sz w:val="26"/>
                <w:szCs w:val="26"/>
              </w:rPr>
              <w:lastRenderedPageBreak/>
              <w:t xml:space="preserve">Confidential Work Highlights in last 12 months </w:t>
            </w:r>
          </w:p>
        </w:tc>
        <w:tc>
          <w:tcPr>
            <w:tcW w:w="40" w:type="dxa"/>
            <w:shd w:val="clear" w:color="auto" w:fill="auto"/>
          </w:tcPr>
          <w:p w:rsidR="00FE41F1" w:rsidRDefault="00FE41F1" w:rsidP="00FE41F1">
            <w:pPr>
              <w:snapToGrid w:val="0"/>
            </w:pPr>
          </w:p>
        </w:tc>
      </w:tr>
      <w:tr w:rsidR="00FE41F1" w:rsidTr="00FE41F1">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FE41F1" w:rsidRDefault="00FE41F1" w:rsidP="00FE41F1">
            <w:pPr>
              <w:snapToGrid w:val="0"/>
              <w:spacing w:line="360" w:lineRule="auto"/>
              <w:jc w:val="center"/>
            </w:pPr>
            <w:r>
              <w:rPr>
                <w:b/>
                <w:bCs/>
                <w:sz w:val="28"/>
                <w:szCs w:val="28"/>
              </w:rPr>
              <w:t xml:space="preserve">Confidential Matter </w:t>
            </w:r>
            <w:r w:rsidRPr="000345C4">
              <w:rPr>
                <w:b/>
                <w:bCs/>
                <w:sz w:val="28"/>
                <w:szCs w:val="28"/>
              </w:rPr>
              <w:t xml:space="preserve">11</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E1 </w:t>
            </w:r>
            <w:r>
              <w:rPr>
                <w:sz w:val="22"/>
                <w:szCs w:val="22"/>
              </w:rPr>
              <w:t>Name of client (for ranking purposes only)</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hd w:val="clear" w:color="auto" w:fill="FFCCCC"/>
              <w:snapToGrid w:val="0"/>
              <w:rPr>
                <w:sz w:val="22"/>
                <w:szCs w:val="22"/>
              </w:rPr>
            </w:pPr>
            <w:r w:rsidRPr="000345C4">
              <w:rPr>
                <w:sz w:val="22"/>
                <w:szCs w:val="22"/>
              </w:rPr>
              <w:t xml:space="preserve">
                <w:r>
                  <w:rPr>
                    <w:b/>
                  </w:rPr>
                  <w:t xml:space="preserve">Truelink Capital</w:t>
                </w:r>
                <w:r>
                  <w:t xml:space="preserve"> – a Los Angeles-based private equity firm that invests in middle-market companies in </w:t>
                </w:r>
                <w:r>
                  <w:rPr>
                    <w:b/>
                  </w:rPr>
                  <w:t xml:space="preserve">Tech-Enabled Services</w:t>
                </w:r>
                <w:r>
                  <w:t xml:space="preserve"> and </w:t>
                </w:r>
                <w:r>
                  <w:rPr>
                    <w:b/>
                  </w:rPr>
                  <w:t xml:space="preserve">Industrials</w:t>
                </w:r>
                <w:r>
                  <w:t xml:space="preserve">.</w:t>
                </w:r>
              </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FE41F1" w:rsidTr="00FE41F1">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t xml:space="preserve">PCG advised </w:t>
                </w:r>
                <w:r>
                  <w:rPr>
                    <w:b/>
                  </w:rPr>
                  <w:t xml:space="preserve">Truelink Capital</w:t>
                </w:r>
                <w:r>
                  <w:t xml:space="preserve"> on the negotiation and structuring of a </w:t>
                </w:r>
                <w:r>
                  <w:rPr>
                    <w:b/>
                  </w:rPr>
                  <w:t xml:space="preserve">New York law</w:t>
                </w:r>
                <w:r>
                  <w:t xml:space="preserve">-governed credit facility provided by </w:t>
                </w:r>
                <w:r>
                  <w:rPr>
                    <w:b/>
                  </w:rPr>
                  <w:t xml:space="preserve">PNC Bank, National Association</w:t>
                </w:r>
                <w:r>
                  <w:t xml:space="preserve"> to support Truelink Capital’s global acquisition of </w:t>
                </w:r>
                <w:r>
                  <w:rPr>
                    <w:b/>
                  </w:rPr>
                  <w:t xml:space="preserve">100%</w:t>
                </w:r>
                <w:r>
                  <w:t xml:space="preserve"> of </w:t>
                </w:r>
                <w:r>
                  <w:rPr>
                    <w:b/>
                  </w:rPr>
                  <w:t xml:space="preserve">Air Distribution Technologies, Inc.</w:t>
                </w:r>
                <w:r>
                  <w:t xml:space="preserve"> and </w:t>
                </w:r>
                <w:r>
                  <w:rPr>
                    <w:b/>
                  </w:rPr>
                  <w:t xml:space="preserve">Air Distribution Holdings I, LLC</w:t>
                </w:r>
                <w:r>
                  <w:t xml:space="preserve"> (collectively, </w:t>
                </w:r>
                <w:r>
                  <w:rPr>
                    <w:b/>
                  </w:rPr>
                  <w:t xml:space="preserve">Johnson Controls</w:t>
                </w:r>
                <w:r>
                  <w:t xml:space="preserve">).</w:t>
                </w:r>
                <w:r>
                  <w:t xml:space="preserve"/>
                  <w:br/>
                  <w:t xml:space="preserve"/>
                </w:r>
                <w:r>
                  <w:t xml:space="preserve"/>
                  <w:br/>
                  <w:t xml:space="preserve"/>
                </w:r>
                <w:r>
                  <w:t xml:space="preserve"/>
                  <w:br/>
                  <w:t xml:space="preserve"/>
                </w:r>
                <w:r>
                  <w:t xml:space="preserve">The financing supported the acquisition of a business with a broad international footprint, including operations in </w:t>
                </w:r>
                <w:r>
                  <w:rPr>
                    <w:b/>
                  </w:rPr>
                  <w:t xml:space="preserve">Ciudad Juárez, Chihuahua</w:t>
                </w:r>
                <w:r>
                  <w:t xml:space="preserve">. PCG coordinated the facility documentation and cross-border legal analysis required to align the financing structure with the acquisition timetable and the local-law requirements affecting the Mexican operations.</w:t>
                </w:r>
                <w:r>
                  <w:t xml:space="preserve"/>
                  <w:br/>
                  <w:t xml:space="preserve"/>
                </w:r>
                <w:r>
                  <w:t xml:space="preserve"/>
                  <w:br/>
                  <w:t xml:space="preserve"/>
                </w:r>
                <w:r>
                  <w:t xml:space="preserve"/>
                  <w:br/>
                  <w:t xml:space="preserve"/>
                </w:r>
                <w:r>
                  <w:t xml:space="preserve">The mandate combined acquisition finance, cross-border structuring and operational diligence across multiple jurisdictions. PCG’s involvement shows its ability to support private equity sponsors on complex financing arrangements tied to international acquisitions and post-closing integration considerations.</w:t>
                </w:r>
              </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E3 </w:t>
            </w:r>
            <w:r>
              <w:rPr>
                <w:sz w:val="22"/>
                <w:szCs w:val="22"/>
              </w:rPr>
              <w:t>Matter value – include currency and amount in figures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USD 90 million</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USA, UK, and Mexico.</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E5 </w:t>
            </w:r>
            <w:r>
              <w:rPr>
                <w:sz w:val="22"/>
                <w:szCs w:val="22"/>
              </w:rPr>
              <w:t>Lead partner</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E6 </w:t>
            </w:r>
            <w:r>
              <w:rPr>
                <w:sz w:val="22"/>
                <w:szCs w:val="22"/>
              </w:rPr>
              <w:t>Other team members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Eduardo Yrigoyen</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E7 </w:t>
            </w:r>
            <w:r>
              <w:rPr>
                <w:sz w:val="22"/>
                <w:szCs w:val="22"/>
              </w:rPr>
              <w:t>Other firms advising on the matter and their role(s)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iCs/>
                <w:sz w:val="14"/>
                <w:szCs w:val="14"/>
              </w:rPr>
              <w:t xml:space="preserve">E8 </w:t>
            </w:r>
            <w:r>
              <w:rPr>
                <w:iCs/>
                <w:sz w:val="22"/>
                <w:szCs w:val="22"/>
              </w:rPr>
              <w:t>Date of completion or current status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E9 </w:t>
            </w:r>
            <w:r>
              <w:rPr>
                <w:sz w:val="22"/>
                <w:szCs w:val="22"/>
              </w:rPr>
              <w:t>Other information about this matter – e.g. link to press coverage</w:t>
            </w:r>
          </w:p>
        </w:tc>
      </w:tr>
      <w:tr w:rsidR="00FE41F1" w:rsidTr="00FE41F1">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bCs/>
                <w:sz w:val="22"/>
                <w:szCs w:val="22"/>
              </w:rPr>
            </w:pPr>
            <w:r w:rsidRPr="000345C4">
              <w:rPr>
                <w:sz w:val="22"/>
                <w:szCs w:val="22"/>
              </w:rPr>
              <w:t xml:space="preserve"/>
            </w:r>
          </w:p>
        </w:tc>
      </w:tr>
    </w:tbl>
    <w:p w:rsidR="00FE41F1" w:rsidRPr="00FE41F1" w:rsidRDefault="00FE41F1" w:rsidP="00FE41F1">
      <w:pPr>
        <w:rPr>
          <w:b/>
          <w:bCs/>
          <w:sz w:val="26"/>
          <w:szCs w:val="26"/>
        </w:rPr>
      </w:pPr>
    </w:p>
    <w:p w:rsidR="00AB2803" w:rsidRDefault="00AB2803" w:rsidP="00AB2803">
      <w:pPr>
        <w:keepNext/>
        <w:jc w:val="center"/>
        <w:rPr>
          <w:b/>
          <w:bCs/>
          <w:u w:val="single"/>
        </w:rPr>
      </w:pPr>
      <w:r>
        <w:rPr>
          <w:b/>
          <w:bCs/>
          <w:u w:val="single"/>
        </w:rPr>
        <w:t xml:space="preserve">IMPORTANT: Please do not exceed one page per deal.</w:t>
      </w:r>
    </w:p>
    <w:p w:rsidR="00FE41F1" w:rsidRDefault="00FE41F1" w:rsidP="00FE41F1">
      <w:pPr>
        <w:keepNext/>
        <w:rPr>
          <w:b/>
          <w:bCs/>
          <w:u w:val="single"/>
        </w:rPr>
      </w:pPr>
    </w:p>
    <w:p w:rsidR="00B9523C" w:rsidRDefault="00B9523C" w:rsidP="00B11E3F">
      <w:pPr>
        <w:keepNext/>
        <w:rPr>
          <w:b/>
          <w:bCs/>
          <w:u w:val="single"/>
        </w:rPr>
      </w:pPr>
    </w:p>
    <w:p w:rsidR="00FE41F1" w:rsidRDefault="00FE41F1">
      <w:pPr>
        <w:widowControl/>
        <w:suppressAutoHyphens w:val="0"/>
        <w:rPr>
          <w:b/>
          <w:bCs/>
          <w:sz w:val="26"/>
          <w:szCs w:val="26"/>
        </w:rPr>
      </w:pPr>
      <w:r>
        <w:rPr>
          <w:b/>
          <w:bCs/>
          <w:sz w:val="26"/>
          <w:szCs w:val="26"/>
        </w:rPr>
        <w:br w:type="page"/>
      </w:r>
    </w:p>
    <w:tbl>
      <w:tblPr>
        <w:tblpPr w:leftFromText="180" w:rightFromText="180" w:vertAnchor="text" w:horzAnchor="margin" w:tblpY="-27"/>
        <w:tblW w:w="9679" w:type="dxa"/>
        <w:tblLayout w:type="fixed"/>
        <w:tblCellMar>
          <w:left w:w="0" w:type="dxa"/>
          <w:right w:w="0" w:type="dxa"/>
        </w:tblCellMar>
        <w:tblLook w:val="0000" w:firstRow="0" w:lastRow="0" w:firstColumn="0" w:lastColumn="0" w:noHBand="0" w:noVBand="0"/>
      </w:tblPr>
      <w:tblGrid>
        <w:gridCol w:w="9639"/>
        <w:gridCol w:w="40"/>
      </w:tblGrid>
      <w:tr w:rsidR="00FE41F1" w:rsidTr="00FE41F1">
        <w:trPr>
          <w:trHeight w:val="345"/>
        </w:trPr>
        <w:tc>
          <w:tcPr>
            <w:tcW w:w="9639" w:type="dxa"/>
            <w:shd w:val="clear" w:color="auto" w:fill="FFFFFF"/>
          </w:tcPr>
          <w:p w:rsidR="00FE41F1" w:rsidRPr="00FE41F1" w:rsidRDefault="00FE41F1" w:rsidP="00FE41F1">
            <w:pPr>
              <w:shd w:val="clear" w:color="auto" w:fill="FFFFFF"/>
              <w:snapToGrid w:val="0"/>
              <w:spacing w:line="360" w:lineRule="auto"/>
              <w:rPr>
                <w:b/>
                <w:bCs/>
                <w:sz w:val="26"/>
                <w:szCs w:val="26"/>
              </w:rPr>
            </w:pPr>
            <w:r>
              <w:rPr>
                <w:b/>
                <w:bCs/>
                <w:sz w:val="26"/>
                <w:szCs w:val="26"/>
              </w:rPr>
              <w:lastRenderedPageBreak/>
              <w:t xml:space="preserve">Confidential Work Highlights in last 12 months </w:t>
            </w:r>
          </w:p>
        </w:tc>
        <w:tc>
          <w:tcPr>
            <w:tcW w:w="40" w:type="dxa"/>
            <w:shd w:val="clear" w:color="auto" w:fill="auto"/>
          </w:tcPr>
          <w:p w:rsidR="00FE41F1" w:rsidRDefault="00FE41F1" w:rsidP="00FE41F1">
            <w:pPr>
              <w:snapToGrid w:val="0"/>
            </w:pPr>
          </w:p>
        </w:tc>
      </w:tr>
      <w:tr w:rsidR="00FE41F1" w:rsidTr="00FE41F1">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FE41F1" w:rsidRDefault="00FE41F1" w:rsidP="00FE41F1">
            <w:pPr>
              <w:snapToGrid w:val="0"/>
              <w:spacing w:line="360" w:lineRule="auto"/>
              <w:jc w:val="center"/>
            </w:pPr>
            <w:r>
              <w:rPr>
                <w:b/>
                <w:bCs/>
                <w:sz w:val="28"/>
                <w:szCs w:val="28"/>
              </w:rPr>
              <w:t xml:space="preserve">Confidential Matter </w:t>
            </w:r>
            <w:r w:rsidRPr="000345C4">
              <w:rPr>
                <w:b/>
                <w:bCs/>
                <w:sz w:val="28"/>
                <w:szCs w:val="28"/>
              </w:rPr>
              <w:t xml:space="preserve">12</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E1 </w:t>
            </w:r>
            <w:r>
              <w:rPr>
                <w:sz w:val="22"/>
                <w:szCs w:val="22"/>
              </w:rPr>
              <w:t>Name of client (for ranking purposes only)</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hd w:val="clear" w:color="auto" w:fill="FFCCCC"/>
              <w:snapToGrid w:val="0"/>
              <w:rPr>
                <w:sz w:val="22"/>
                <w:szCs w:val="22"/>
              </w:rPr>
            </w:pPr>
            <w:r w:rsidRPr="000345C4">
              <w:rPr>
                <w:sz w:val="22"/>
                <w:szCs w:val="22"/>
              </w:rPr>
              <w:t xml:space="preserve">Grupo Concord</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FE41F1" w:rsidTr="00FE41F1">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rPr>
                    <w:b/>
                  </w:rPr>
                  <w:t xml:space="preserve">Pérez Correa González</w:t>
                </w:r>
                <w:r>
                  <w:t xml:space="preserve"> advised </w:t>
                </w:r>
                <w:r>
                  <w:rPr>
                    <w:b/>
                  </w:rPr>
                  <w:t xml:space="preserve">Grupo Concord, S.A. de C.V.</w:t>
                </w:r>
                <w:r>
                  <w:t xml:space="preserve"> and its subsidiaries on an operational restructuring that included arranging </w:t>
                </w:r>
                <w:r>
                  <w:rPr>
                    <w:b/>
                  </w:rPr>
                  <w:t xml:space="preserve">MXN 400 million</w:t>
                </w:r>
                <w:r>
                  <w:t xml:space="preserve"> in revolving loan facilities from private investors.</w:t>
                </w:r>
                <w:r>
                  <w:t xml:space="preserve"/>
                  <w:br/>
                  <w:t xml:space="preserve"/>
                </w:r>
                <w:r>
                  <w:t xml:space="preserve"/>
                  <w:br/>
                  <w:t xml:space="preserve"/>
                </w:r>
                <w:r>
                  <w:t xml:space="preserve"/>
                  <w:br/>
                  <w:t xml:space="preserve"/>
                </w:r>
                <w:r>
                  <w:t xml:space="preserve">The mandate was designed to strengthen liquidity, support business continuity and align the financing package with a broader corporate reorganisation. The team drafted the revolving loan documentation to integrate seamlessly with the restructuring plan, preserve investor flexibility and ensure compliance with applicable </w:t>
                </w:r>
                <w:r>
                  <w:rPr>
                    <w:b/>
                  </w:rPr>
                  <w:t xml:space="preserve">Financial</w:t>
                </w:r>
                <w:r>
                  <w:t xml:space="preserve"> and </w:t>
                </w:r>
                <w:r>
                  <w:rPr>
                    <w:b/>
                  </w:rPr>
                  <w:t xml:space="preserve">Corporate</w:t>
                </w:r>
                <w:r>
                  <w:t xml:space="preserve"> regulations across multiple entities.</w:t>
                </w:r>
                <w:r>
                  <w:t xml:space="preserve"/>
                  <w:br/>
                  <w:t xml:space="preserve"/>
                </w:r>
                <w:r>
                  <w:t xml:space="preserve"/>
                  <w:br/>
                  <w:t xml:space="preserve"/>
                </w:r>
                <w:r>
                  <w:t xml:space="preserve"/>
                  <w:br/>
                  <w:t xml:space="preserve"/>
                </w:r>
                <w:r>
                  <w:t xml:space="preserve">The work also required close coordination across </w:t>
                </w:r>
                <w:r>
                  <w:rPr>
                    <w:b/>
                  </w:rPr>
                  <w:t xml:space="preserve">Grupo Concord</w:t>
                </w:r>
                <w:r>
                  <w:t xml:space="preserve">’s subsidiaries to ensure that the collateral and security package remained workable at group level. The matter underscores the firm’s ability to manage mid-market </w:t>
                </w:r>
                <w:r>
                  <w:rPr>
                    <w:b/>
                  </w:rPr>
                  <w:t xml:space="preserve">Financial Restructurings</w:t>
                </w:r>
                <w:r>
                  <w:t xml:space="preserve"> involving private capital, multi-entity structures and execution pressure in the context of a strategic turnaround.</w:t>
                </w:r>
              </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E3 </w:t>
            </w:r>
            <w:r>
              <w:rPr>
                <w:sz w:val="22"/>
                <w:szCs w:val="22"/>
              </w:rPr>
              <w:t>Matter value – include currency and amount in figures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USD 19.2 million</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E5 </w:t>
            </w:r>
            <w:r>
              <w:rPr>
                <w:sz w:val="22"/>
                <w:szCs w:val="22"/>
              </w:rPr>
              <w:t>Lead partner</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E6 </w:t>
            </w:r>
            <w:r>
              <w:rPr>
                <w:sz w:val="22"/>
                <w:szCs w:val="22"/>
              </w:rPr>
              <w:t>Other team members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N/A</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E7 </w:t>
            </w:r>
            <w:r>
              <w:rPr>
                <w:sz w:val="22"/>
                <w:szCs w:val="22"/>
              </w:rPr>
              <w:t>Other firms advising on the matter and their role(s)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iCs/>
                <w:sz w:val="14"/>
                <w:szCs w:val="14"/>
              </w:rPr>
              <w:t xml:space="preserve">E8 </w:t>
            </w:r>
            <w:r>
              <w:rPr>
                <w:iCs/>
                <w:sz w:val="22"/>
                <w:szCs w:val="22"/>
              </w:rPr>
              <w:t>Date of completion or current status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E9 </w:t>
            </w:r>
            <w:r>
              <w:rPr>
                <w:sz w:val="22"/>
                <w:szCs w:val="22"/>
              </w:rPr>
              <w:t>Other information about this matter – e.g. link to press coverage</w:t>
            </w:r>
          </w:p>
        </w:tc>
      </w:tr>
      <w:tr w:rsidR="00FE41F1" w:rsidTr="00FE41F1">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bCs/>
                <w:sz w:val="22"/>
                <w:szCs w:val="22"/>
              </w:rPr>
            </w:pPr>
            <w:r w:rsidRPr="000345C4">
              <w:rPr>
                <w:sz w:val="22"/>
                <w:szCs w:val="22"/>
              </w:rPr>
              <w:t xml:space="preserve"/>
            </w:r>
          </w:p>
        </w:tc>
      </w:tr>
    </w:tbl>
    <w:p w:rsidR="00FE41F1" w:rsidRPr="00FE41F1" w:rsidRDefault="00FE41F1" w:rsidP="00FE41F1">
      <w:pPr>
        <w:rPr>
          <w:b/>
          <w:bCs/>
          <w:sz w:val="26"/>
          <w:szCs w:val="26"/>
        </w:rPr>
      </w:pPr>
    </w:p>
    <w:p w:rsidR="00AB2803" w:rsidRDefault="00AB2803" w:rsidP="00AB2803">
      <w:pPr>
        <w:keepNext/>
        <w:jc w:val="center"/>
        <w:rPr>
          <w:b/>
          <w:bCs/>
          <w:u w:val="single"/>
        </w:rPr>
      </w:pPr>
      <w:r>
        <w:rPr>
          <w:b/>
          <w:bCs/>
          <w:u w:val="single"/>
        </w:rPr>
        <w:t xml:space="preserve">IMPORTANT: Please do not exceed one page per deal.</w:t>
      </w:r>
    </w:p>
    <w:p w:rsidR="00FE41F1" w:rsidRDefault="00FE41F1" w:rsidP="00FE41F1">
      <w:pPr>
        <w:keepNext/>
        <w:rPr>
          <w:b/>
          <w:bCs/>
          <w:u w:val="single"/>
        </w:rPr>
      </w:pPr>
    </w:p>
    <w:p w:rsidR="00B9523C" w:rsidRDefault="00B9523C" w:rsidP="00B11E3F">
      <w:pPr>
        <w:keepNext/>
        <w:rPr>
          <w:b/>
          <w:bCs/>
          <w:u w:val="single"/>
        </w:rPr>
      </w:pPr>
    </w:p>
    <w:p w:rsidR="00FE41F1" w:rsidRDefault="00FE41F1">
      <w:pPr>
        <w:widowControl/>
        <w:suppressAutoHyphens w:val="0"/>
        <w:rPr>
          <w:b/>
          <w:bCs/>
          <w:sz w:val="26"/>
          <w:szCs w:val="26"/>
        </w:rPr>
      </w:pPr>
      <w:r>
        <w:rPr>
          <w:b/>
          <w:bCs/>
          <w:sz w:val="26"/>
          <w:szCs w:val="26"/>
        </w:rPr>
        <w:br w:type="page"/>
      </w:r>
    </w:p>
    <w:tbl>
      <w:tblPr>
        <w:tblpPr w:leftFromText="180" w:rightFromText="180" w:vertAnchor="text" w:horzAnchor="margin" w:tblpY="-27"/>
        <w:tblW w:w="9679" w:type="dxa"/>
        <w:tblLayout w:type="fixed"/>
        <w:tblCellMar>
          <w:left w:w="0" w:type="dxa"/>
          <w:right w:w="0" w:type="dxa"/>
        </w:tblCellMar>
        <w:tblLook w:val="0000" w:firstRow="0" w:lastRow="0" w:firstColumn="0" w:lastColumn="0" w:noHBand="0" w:noVBand="0"/>
      </w:tblPr>
      <w:tblGrid>
        <w:gridCol w:w="9639"/>
        <w:gridCol w:w="40"/>
      </w:tblGrid>
      <w:tr w:rsidR="00FE41F1" w:rsidTr="00FE41F1">
        <w:trPr>
          <w:trHeight w:val="345"/>
        </w:trPr>
        <w:tc>
          <w:tcPr>
            <w:tcW w:w="9639" w:type="dxa"/>
            <w:shd w:val="clear" w:color="auto" w:fill="FFFFFF"/>
          </w:tcPr>
          <w:p w:rsidR="00FE41F1" w:rsidRPr="00FE41F1" w:rsidRDefault="00FE41F1" w:rsidP="00FE41F1">
            <w:pPr>
              <w:shd w:val="clear" w:color="auto" w:fill="FFFFFF"/>
              <w:snapToGrid w:val="0"/>
              <w:spacing w:line="360" w:lineRule="auto"/>
              <w:rPr>
                <w:b/>
                <w:bCs/>
                <w:sz w:val="26"/>
                <w:szCs w:val="26"/>
              </w:rPr>
            </w:pPr>
            <w:r>
              <w:rPr>
                <w:b/>
                <w:bCs/>
                <w:sz w:val="26"/>
                <w:szCs w:val="26"/>
              </w:rPr>
              <w:lastRenderedPageBreak/>
              <w:t xml:space="preserve">Confidential Work Highlights in last 12 months </w:t>
            </w:r>
          </w:p>
        </w:tc>
        <w:tc>
          <w:tcPr>
            <w:tcW w:w="40" w:type="dxa"/>
            <w:shd w:val="clear" w:color="auto" w:fill="auto"/>
          </w:tcPr>
          <w:p w:rsidR="00FE41F1" w:rsidRDefault="00FE41F1" w:rsidP="00FE41F1">
            <w:pPr>
              <w:snapToGrid w:val="0"/>
            </w:pPr>
          </w:p>
        </w:tc>
      </w:tr>
      <w:tr w:rsidR="00FE41F1" w:rsidTr="00FE41F1">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FE41F1" w:rsidRDefault="00FE41F1" w:rsidP="00FE41F1">
            <w:pPr>
              <w:snapToGrid w:val="0"/>
              <w:spacing w:line="360" w:lineRule="auto"/>
              <w:jc w:val="center"/>
            </w:pPr>
            <w:r>
              <w:rPr>
                <w:b/>
                <w:bCs/>
                <w:sz w:val="28"/>
                <w:szCs w:val="28"/>
              </w:rPr>
              <w:t xml:space="preserve">Confidential Matter </w:t>
            </w:r>
            <w:r w:rsidRPr="000345C4">
              <w:rPr>
                <w:b/>
                <w:bCs/>
                <w:sz w:val="28"/>
                <w:szCs w:val="28"/>
              </w:rPr>
              <w:t xml:space="preserve">13</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E1 </w:t>
            </w:r>
            <w:r>
              <w:rPr>
                <w:sz w:val="22"/>
                <w:szCs w:val="22"/>
              </w:rPr>
              <w:t>Name of client (for ranking purposes only)</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hd w:val="clear" w:color="auto" w:fill="FFCCCC"/>
              <w:snapToGrid w:val="0"/>
              <w:rPr>
                <w:sz w:val="22"/>
                <w:szCs w:val="22"/>
              </w:rPr>
            </w:pPr>
            <w:r w:rsidRPr="000345C4">
              <w:rPr>
                <w:sz w:val="22"/>
                <w:szCs w:val="22"/>
              </w:rPr>
              <w:t xml:space="preserve">BMO Bank, N.A. (“BMO”)</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FE41F1" w:rsidTr="00FE41F1">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rPr>
                    <w:b/>
                  </w:rPr>
                  <w:t xml:space="preserve">Pérez Correa González</w:t>
                </w:r>
                <w:r>
                  <w:t xml:space="preserve"> advised </w:t>
                </w:r>
                <w:r>
                  <w:rPr>
                    <w:b/>
                  </w:rPr>
                  <w:t xml:space="preserve">BMO</w:t>
                </w:r>
                <w:r>
                  <w:t xml:space="preserve"> on due diligence, negotiations and the structuring of a </w:t>
                </w:r>
                <w:r>
                  <w:rPr>
                    <w:b/>
                  </w:rPr>
                  <w:t xml:space="preserve">New York law</w:t>
                </w:r>
                <w:r>
                  <w:t xml:space="preserve">-governed credit facility between </w:t>
                </w:r>
                <w:r>
                  <w:rPr>
                    <w:b/>
                  </w:rPr>
                  <w:t xml:space="preserve">BMO</w:t>
                </w:r>
                <w:r>
                  <w:t xml:space="preserve">, as lender, and </w:t>
                </w:r>
                <w:r>
                  <w:rPr>
                    <w:b/>
                  </w:rPr>
                  <w:t xml:space="preserve">MEC INTERNATIONAL CORPORATION</w:t>
                </w:r>
                <w:r>
                  <w:t xml:space="preserve">, </w:t>
                </w:r>
                <w:r>
                  <w:rPr>
                    <w:b/>
                  </w:rPr>
                  <w:t xml:space="preserve">MILWAUKEE ELECTRONICS CORPORATION</w:t>
                </w:r>
                <w:r>
                  <w:t xml:space="preserve">, </w:t>
                </w:r>
                <w:r>
                  <w:rPr>
                    <w:b/>
                  </w:rPr>
                  <w:t xml:space="preserve">MILEGON, LLC</w:t>
                </w:r>
                <w:r>
                  <w:t xml:space="preserve">, </w:t>
                </w:r>
                <w:r>
                  <w:rPr>
                    <w:b/>
                  </w:rPr>
                  <w:t xml:space="preserve">CHOG, LLC</w:t>
                </w:r>
                <w:r>
                  <w:t xml:space="preserve">, </w:t>
                </w:r>
                <w:r>
                  <w:rPr>
                    <w:b/>
                  </w:rPr>
                  <w:t xml:space="preserve">MOG, LLC</w:t>
                </w:r>
                <w:r>
                  <w:t xml:space="preserve"> and </w:t>
                </w:r>
                <w:r>
                  <w:rPr>
                    <w:b/>
                  </w:rPr>
                  <w:t xml:space="preserve">MEC SOUTHWEST, LLC</w:t>
                </w:r>
                <w:r>
                  <w:t xml:space="preserve">, as borrowers, together with the negotiation and structuring of the Mexican collateral documentation linked to the facility.</w:t>
                </w:r>
                <w:r>
                  <w:t xml:space="preserve"/>
                  <w:br/>
                  <w:t xml:space="preserve"/>
                </w:r>
                <w:r>
                  <w:t xml:space="preserve"/>
                  <w:br/>
                  <w:t xml:space="preserve"/>
                </w:r>
                <w:r>
                  <w:t xml:space="preserve"/>
                  <w:br/>
                  <w:t xml:space="preserve"/>
                </w:r>
                <w:r>
                  <w:t xml:space="preserve">The transaction provided the borrower group with </w:t>
                </w:r>
                <w:r>
                  <w:rPr>
                    <w:b/>
                  </w:rPr>
                  <w:t xml:space="preserve">USD 18,000,000</w:t>
                </w:r>
                <w:r>
                  <w:t xml:space="preserve"> in financing to support operations and growth in the electronics manufacturing sector. </w:t>
                </w:r>
                <w:r>
                  <w:rPr>
                    <w:b/>
                  </w:rPr>
                  <w:t xml:space="preserve">Pérez Correa González</w:t>
                </w:r>
                <w:r>
                  <w:t xml:space="preserve"> handled lender-side diligence, negotiated the facility terms and coordinated the Mexican security package to ensure consistency between the </w:t>
                </w:r>
                <w:r>
                  <w:rPr>
                    <w:b/>
                  </w:rPr>
                  <w:t xml:space="preserve">New York law</w:t>
                </w:r>
                <w:r>
                  <w:t xml:space="preserve"> financing documents and local collateral instruments.</w:t>
                </w:r>
                <w:r>
                  <w:t xml:space="preserve"/>
                  <w:br/>
                  <w:t xml:space="preserve"/>
                </w:r>
                <w:r>
                  <w:t xml:space="preserve"/>
                  <w:br/>
                  <w:t xml:space="preserve"/>
                </w:r>
                <w:r>
                  <w:t xml:space="preserve"/>
                  <w:br/>
                  <w:t xml:space="preserve"/>
                </w:r>
                <w:r>
                  <w:t xml:space="preserve">The matter involved a multi-entity borrower structure and parallel compliance under </w:t>
                </w:r>
                <w:r>
                  <w:rPr>
                    <w:b/>
                  </w:rPr>
                  <w:t xml:space="preserve">New York law</w:t>
                </w:r>
                <w:r>
                  <w:t xml:space="preserve"> and Mexican law. The firm’s role was to keep the documentation commercially workable while protecting </w:t>
                </w:r>
                <w:r>
                  <w:rPr>
                    <w:b/>
                  </w:rPr>
                  <w:t xml:space="preserve">BMO</w:t>
                </w:r>
                <w:r>
                  <w:t xml:space="preserve">’s interests across jurisdictions.</w:t>
                </w:r>
              </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E3 </w:t>
            </w:r>
            <w:r>
              <w:rPr>
                <w:sz w:val="22"/>
                <w:szCs w:val="22"/>
              </w:rPr>
              <w:t>Matter value – include currency and amount in figures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USD 18 million</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E5 </w:t>
            </w:r>
            <w:r>
              <w:rPr>
                <w:sz w:val="22"/>
                <w:szCs w:val="22"/>
              </w:rPr>
              <w:t>Lead partner</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E6 </w:t>
            </w:r>
            <w:r>
              <w:rPr>
                <w:sz w:val="22"/>
                <w:szCs w:val="22"/>
              </w:rPr>
              <w:t>Other team members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Eduardo Yrigoyen</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E7 </w:t>
            </w:r>
            <w:r>
              <w:rPr>
                <w:sz w:val="22"/>
                <w:szCs w:val="22"/>
              </w:rPr>
              <w:t>Other firms advising on the matter and their role(s)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iCs/>
                <w:sz w:val="14"/>
                <w:szCs w:val="14"/>
              </w:rPr>
              <w:t xml:space="preserve">E8 </w:t>
            </w:r>
            <w:r>
              <w:rPr>
                <w:iCs/>
                <w:sz w:val="22"/>
                <w:szCs w:val="22"/>
              </w:rPr>
              <w:t>Date of completion or current status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E9 </w:t>
            </w:r>
            <w:r>
              <w:rPr>
                <w:sz w:val="22"/>
                <w:szCs w:val="22"/>
              </w:rPr>
              <w:t>Other information about this matter – e.g. link to press coverage</w:t>
            </w:r>
          </w:p>
        </w:tc>
      </w:tr>
      <w:tr w:rsidR="00FE41F1" w:rsidTr="00FE41F1">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bCs/>
                <w:sz w:val="22"/>
                <w:szCs w:val="22"/>
              </w:rPr>
            </w:pPr>
            <w:r w:rsidRPr="000345C4">
              <w:rPr>
                <w:sz w:val="22"/>
                <w:szCs w:val="22"/>
              </w:rPr>
              <w:t xml:space="preserve"/>
            </w:r>
          </w:p>
        </w:tc>
      </w:tr>
    </w:tbl>
    <w:p w:rsidR="00FE41F1" w:rsidRPr="00FE41F1" w:rsidRDefault="00FE41F1" w:rsidP="00FE41F1">
      <w:pPr>
        <w:rPr>
          <w:b/>
          <w:bCs/>
          <w:sz w:val="26"/>
          <w:szCs w:val="26"/>
        </w:rPr>
      </w:pPr>
    </w:p>
    <w:p w:rsidR="00AB2803" w:rsidRDefault="00AB2803" w:rsidP="00AB2803">
      <w:pPr>
        <w:keepNext/>
        <w:jc w:val="center"/>
        <w:rPr>
          <w:b/>
          <w:bCs/>
          <w:u w:val="single"/>
        </w:rPr>
      </w:pPr>
      <w:r>
        <w:rPr>
          <w:b/>
          <w:bCs/>
          <w:u w:val="single"/>
        </w:rPr>
        <w:t xml:space="preserve">IMPORTANT: Please do not exceed one page per deal.</w:t>
      </w:r>
    </w:p>
    <w:p w:rsidR="00FE41F1" w:rsidRDefault="00FE41F1" w:rsidP="00FE41F1">
      <w:pPr>
        <w:keepNext/>
        <w:rPr>
          <w:b/>
          <w:bCs/>
          <w:u w:val="single"/>
        </w:rPr>
      </w:pPr>
    </w:p>
    <w:p w:rsidR="00B9523C" w:rsidRDefault="00B9523C" w:rsidP="00B11E3F">
      <w:pPr>
        <w:keepNext/>
        <w:rPr>
          <w:b/>
          <w:bCs/>
          <w:u w:val="single"/>
        </w:rPr>
      </w:pPr>
    </w:p>
    <w:p w:rsidR="00FE41F1" w:rsidRDefault="00FE41F1">
      <w:pPr>
        <w:widowControl/>
        <w:suppressAutoHyphens w:val="0"/>
        <w:rPr>
          <w:b/>
          <w:bCs/>
          <w:sz w:val="26"/>
          <w:szCs w:val="26"/>
        </w:rPr>
      </w:pPr>
      <w:r>
        <w:rPr>
          <w:b/>
          <w:bCs/>
          <w:sz w:val="26"/>
          <w:szCs w:val="26"/>
        </w:rPr>
        <w:br w:type="page"/>
      </w:r>
    </w:p>
    <w:tbl>
      <w:tblPr>
        <w:tblpPr w:leftFromText="180" w:rightFromText="180" w:vertAnchor="text" w:horzAnchor="margin" w:tblpY="-27"/>
        <w:tblW w:w="9679" w:type="dxa"/>
        <w:tblLayout w:type="fixed"/>
        <w:tblCellMar>
          <w:left w:w="0" w:type="dxa"/>
          <w:right w:w="0" w:type="dxa"/>
        </w:tblCellMar>
        <w:tblLook w:val="0000" w:firstRow="0" w:lastRow="0" w:firstColumn="0" w:lastColumn="0" w:noHBand="0" w:noVBand="0"/>
      </w:tblPr>
      <w:tblGrid>
        <w:gridCol w:w="9639"/>
        <w:gridCol w:w="40"/>
      </w:tblGrid>
      <w:tr w:rsidR="00FE41F1" w:rsidTr="00FE41F1">
        <w:trPr>
          <w:trHeight w:val="345"/>
        </w:trPr>
        <w:tc>
          <w:tcPr>
            <w:tcW w:w="9639" w:type="dxa"/>
            <w:shd w:val="clear" w:color="auto" w:fill="FFFFFF"/>
          </w:tcPr>
          <w:p w:rsidR="00FE41F1" w:rsidRPr="00FE41F1" w:rsidRDefault="00FE41F1" w:rsidP="00FE41F1">
            <w:pPr>
              <w:shd w:val="clear" w:color="auto" w:fill="FFFFFF"/>
              <w:snapToGrid w:val="0"/>
              <w:spacing w:line="360" w:lineRule="auto"/>
              <w:rPr>
                <w:b/>
                <w:bCs/>
                <w:sz w:val="26"/>
                <w:szCs w:val="26"/>
              </w:rPr>
            </w:pPr>
            <w:r>
              <w:rPr>
                <w:b/>
                <w:bCs/>
                <w:sz w:val="26"/>
                <w:szCs w:val="26"/>
              </w:rPr>
              <w:lastRenderedPageBreak/>
              <w:t xml:space="preserve">Confidential Work Highlights in last 12 months </w:t>
            </w:r>
          </w:p>
        </w:tc>
        <w:tc>
          <w:tcPr>
            <w:tcW w:w="40" w:type="dxa"/>
            <w:shd w:val="clear" w:color="auto" w:fill="auto"/>
          </w:tcPr>
          <w:p w:rsidR="00FE41F1" w:rsidRDefault="00FE41F1" w:rsidP="00FE41F1">
            <w:pPr>
              <w:snapToGrid w:val="0"/>
            </w:pPr>
          </w:p>
        </w:tc>
      </w:tr>
      <w:tr w:rsidR="00FE41F1" w:rsidTr="00FE41F1">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FE41F1" w:rsidRDefault="00FE41F1" w:rsidP="00FE41F1">
            <w:pPr>
              <w:snapToGrid w:val="0"/>
              <w:spacing w:line="360" w:lineRule="auto"/>
              <w:jc w:val="center"/>
            </w:pPr>
            <w:r>
              <w:rPr>
                <w:b/>
                <w:bCs/>
                <w:sz w:val="28"/>
                <w:szCs w:val="28"/>
              </w:rPr>
              <w:t xml:space="preserve">Confidential Matter </w:t>
            </w:r>
            <w:r w:rsidRPr="000345C4">
              <w:rPr>
                <w:b/>
                <w:bCs/>
                <w:sz w:val="28"/>
                <w:szCs w:val="28"/>
              </w:rPr>
              <w:t xml:space="preserve">14</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E1 </w:t>
            </w:r>
            <w:r>
              <w:rPr>
                <w:sz w:val="22"/>
                <w:szCs w:val="22"/>
              </w:rPr>
              <w:t>Name of client (for ranking purposes only)</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hd w:val="clear" w:color="auto" w:fill="FFCCCC"/>
              <w:snapToGrid w:val="0"/>
              <w:rPr>
                <w:sz w:val="22"/>
                <w:szCs w:val="22"/>
              </w:rPr>
            </w:pPr>
            <w:r w:rsidRPr="000345C4">
              <w:rPr>
                <w:sz w:val="22"/>
                <w:szCs w:val="22"/>
              </w:rPr>
              <w:t xml:space="preserve">Elevva LLC (“Elevva”)</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FE41F1" w:rsidTr="00FE41F1">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rPr>
                    <w:b/>
                  </w:rPr>
                  <w:t xml:space="preserve">Pérez Correa González</w:t>
                </w:r>
                <w:r>
                  <w:t xml:space="preserve"> advised </w:t>
                </w:r>
                <w:r>
                  <w:rPr>
                    <w:b/>
                  </w:rPr>
                  <w:t xml:space="preserve">Elevva</w:t>
                </w:r>
                <w:r>
                  <w:t xml:space="preserve"> on the negotiation and structuring of the collateral documentation under a </w:t>
                </w:r>
                <w:r>
                  <w:rPr>
                    <w:b/>
                  </w:rPr>
                  <w:t xml:space="preserve">New York law</w:t>
                </w:r>
                <w:r>
                  <w:t xml:space="preserve">-governed credit facility granted by </w:t>
                </w:r>
                <w:r>
                  <w:rPr>
                    <w:b/>
                  </w:rPr>
                  <w:t xml:space="preserve">BPA Funding I, LLC</w:t>
                </w:r>
                <w:r>
                  <w:t xml:space="preserve">, as lender, to </w:t>
                </w:r>
                <w:r>
                  <w:rPr>
                    <w:b/>
                  </w:rPr>
                  <w:t xml:space="preserve">Elevva Holding</w:t>
                </w:r>
                <w:r>
                  <w:t xml:space="preserve">, as borrower, with </w:t>
                </w:r>
                <w:r>
                  <w:rPr>
                    <w:b/>
                  </w:rPr>
                  <w:t xml:space="preserve">Elevva LLC</w:t>
                </w:r>
                <w:r>
                  <w:t xml:space="preserve"> acting as guarantor.</w:t>
                </w:r>
                <w:r>
                  <w:t xml:space="preserve"/>
                  <w:br/>
                  <w:t xml:space="preserve"/>
                </w:r>
                <w:r>
                  <w:t xml:space="preserve"/>
                  <w:br/>
                  <w:t xml:space="preserve"/>
                </w:r>
                <w:r>
                  <w:t xml:space="preserve"/>
                  <w:br/>
                  <w:t xml:space="preserve"/>
                </w:r>
                <w:r>
                  <w:t xml:space="preserve">The financing package secured </w:t>
                </w:r>
                <w:r>
                  <w:rPr>
                    <w:b/>
                  </w:rPr>
                  <w:t xml:space="preserve">USD 15,000,000</w:t>
                </w:r>
                <w:r>
                  <w:t xml:space="preserve"> and required a tailored security structure over </w:t>
                </w:r>
                <w:r>
                  <w:rPr>
                    <w:b/>
                  </w:rPr>
                  <w:t xml:space="preserve">Top Living</w:t>
                </w:r>
                <w:r>
                  <w:t xml:space="preserve"> assets, including a Mexican special purpose vehicle and trust arrangements over shares contributed to that vehicle. </w:t>
                </w:r>
                <w:r>
                  <w:rPr>
                    <w:b/>
                  </w:rPr>
                  <w:t xml:space="preserve">Pérez Correa González</w:t>
                </w:r>
                <w:r>
                  <w:t xml:space="preserve"> structured and negotiated the collateral documentation to align with the facility terms and the group’s operational needs while preserving enforceability under applicable law.</w:t>
                </w:r>
                <w:r>
                  <w:t xml:space="preserve"/>
                  <w:br/>
                  <w:t xml:space="preserve"/>
                </w:r>
                <w:r>
                  <w:t xml:space="preserve"/>
                  <w:br/>
                  <w:t xml:space="preserve"/>
                </w:r>
                <w:r>
                  <w:t xml:space="preserve"/>
                  <w:br/>
                  <w:t xml:space="preserve"/>
                </w:r>
                <w:r>
                  <w:t xml:space="preserve">The transaction required particular care because part of the relevant asset base had already been pledged in another financing. The team therefore addressed insolvency-risk issues, including the arm’s-length character of the upstream guarantee and the need to avoid any later challenge as a fraudulent conveyance. The matter illustrates the firm’s ability to manage cross-border </w:t>
                </w:r>
                <w:r>
                  <w:rPr>
                    <w:b/>
                  </w:rPr>
                  <w:t xml:space="preserve">Secured Financing</w:t>
                </w:r>
                <w:r>
                  <w:t xml:space="preserve"> with overlapping collateral issues and lender-borrower structuring constraints.</w:t>
                </w:r>
              </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E3 </w:t>
            </w:r>
            <w:r>
              <w:rPr>
                <w:sz w:val="22"/>
                <w:szCs w:val="22"/>
              </w:rPr>
              <w:t>Matter value – include currency and amount in figures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USD 15 million</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Yes: USA and Mexico.</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E5 </w:t>
            </w:r>
            <w:r>
              <w:rPr>
                <w:sz w:val="22"/>
                <w:szCs w:val="22"/>
              </w:rPr>
              <w:t>Lead partner</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E6 </w:t>
            </w:r>
            <w:r>
              <w:rPr>
                <w:sz w:val="22"/>
                <w:szCs w:val="22"/>
              </w:rPr>
              <w:t>Other team members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Eduardo Yrigoyen</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E7 </w:t>
            </w:r>
            <w:r>
              <w:rPr>
                <w:sz w:val="22"/>
                <w:szCs w:val="22"/>
              </w:rPr>
              <w:t>Other firms advising on the matter and their role(s)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iCs/>
                <w:sz w:val="14"/>
                <w:szCs w:val="14"/>
              </w:rPr>
              <w:t xml:space="preserve">E8 </w:t>
            </w:r>
            <w:r>
              <w:rPr>
                <w:iCs/>
                <w:sz w:val="22"/>
                <w:szCs w:val="22"/>
              </w:rPr>
              <w:t>Date of completion or current status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E9 </w:t>
            </w:r>
            <w:r>
              <w:rPr>
                <w:sz w:val="22"/>
                <w:szCs w:val="22"/>
              </w:rPr>
              <w:t>Other information about this matter – e.g. link to press coverage</w:t>
            </w:r>
          </w:p>
        </w:tc>
      </w:tr>
      <w:tr w:rsidR="00FE41F1" w:rsidTr="00FE41F1">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bCs/>
                <w:sz w:val="22"/>
                <w:szCs w:val="22"/>
              </w:rPr>
            </w:pPr>
            <w:r w:rsidRPr="000345C4">
              <w:rPr>
                <w:sz w:val="22"/>
                <w:szCs w:val="22"/>
              </w:rPr>
              <w:t xml:space="preserve"/>
            </w:r>
          </w:p>
        </w:tc>
      </w:tr>
    </w:tbl>
    <w:p w:rsidR="00FE41F1" w:rsidRPr="00FE41F1" w:rsidRDefault="00FE41F1" w:rsidP="00FE41F1">
      <w:pPr>
        <w:rPr>
          <w:b/>
          <w:bCs/>
          <w:sz w:val="26"/>
          <w:szCs w:val="26"/>
        </w:rPr>
      </w:pPr>
    </w:p>
    <w:p w:rsidR="00AB2803" w:rsidRDefault="00AB2803" w:rsidP="00AB2803">
      <w:pPr>
        <w:keepNext/>
        <w:jc w:val="center"/>
        <w:rPr>
          <w:b/>
          <w:bCs/>
          <w:u w:val="single"/>
        </w:rPr>
      </w:pPr>
      <w:r>
        <w:rPr>
          <w:b/>
          <w:bCs/>
          <w:u w:val="single"/>
        </w:rPr>
        <w:t xml:space="preserve">IMPORTANT: Please do not exceed one page per deal.</w:t>
      </w:r>
    </w:p>
    <w:p w:rsidR="00FE41F1" w:rsidRDefault="00FE41F1" w:rsidP="00FE41F1">
      <w:pPr>
        <w:keepNext/>
        <w:rPr>
          <w:b/>
          <w:bCs/>
          <w:u w:val="single"/>
        </w:rPr>
      </w:pPr>
    </w:p>
    <w:p w:rsidR="00B9523C" w:rsidRDefault="00B9523C" w:rsidP="00B11E3F">
      <w:pPr>
        <w:keepNext/>
        <w:rPr>
          <w:b/>
          <w:bCs/>
          <w:u w:val="single"/>
        </w:rPr>
      </w:pPr>
    </w:p>
    <w:p w:rsidR="00FE41F1" w:rsidRDefault="00FE41F1">
      <w:pPr>
        <w:widowControl/>
        <w:suppressAutoHyphens w:val="0"/>
        <w:rPr>
          <w:b/>
          <w:bCs/>
          <w:sz w:val="26"/>
          <w:szCs w:val="26"/>
        </w:rPr>
      </w:pPr>
      <w:r>
        <w:rPr>
          <w:b/>
          <w:bCs/>
          <w:sz w:val="26"/>
          <w:szCs w:val="26"/>
        </w:rPr>
        <w:br w:type="page"/>
      </w:r>
    </w:p>
    <w:tbl>
      <w:tblPr>
        <w:tblpPr w:leftFromText="180" w:rightFromText="180" w:vertAnchor="text" w:horzAnchor="margin" w:tblpY="-27"/>
        <w:tblW w:w="9679" w:type="dxa"/>
        <w:tblLayout w:type="fixed"/>
        <w:tblCellMar>
          <w:left w:w="0" w:type="dxa"/>
          <w:right w:w="0" w:type="dxa"/>
        </w:tblCellMar>
        <w:tblLook w:val="0000" w:firstRow="0" w:lastRow="0" w:firstColumn="0" w:lastColumn="0" w:noHBand="0" w:noVBand="0"/>
      </w:tblPr>
      <w:tblGrid>
        <w:gridCol w:w="9639"/>
        <w:gridCol w:w="40"/>
      </w:tblGrid>
      <w:tr w:rsidR="00FE41F1" w:rsidTr="00FE41F1">
        <w:trPr>
          <w:trHeight w:val="345"/>
        </w:trPr>
        <w:tc>
          <w:tcPr>
            <w:tcW w:w="9639" w:type="dxa"/>
            <w:shd w:val="clear" w:color="auto" w:fill="FFFFFF"/>
          </w:tcPr>
          <w:p w:rsidR="00FE41F1" w:rsidRPr="00FE41F1" w:rsidRDefault="00FE41F1" w:rsidP="00FE41F1">
            <w:pPr>
              <w:shd w:val="clear" w:color="auto" w:fill="FFFFFF"/>
              <w:snapToGrid w:val="0"/>
              <w:spacing w:line="360" w:lineRule="auto"/>
              <w:rPr>
                <w:b/>
                <w:bCs/>
                <w:sz w:val="26"/>
                <w:szCs w:val="26"/>
              </w:rPr>
            </w:pPr>
            <w:r>
              <w:rPr>
                <w:b/>
                <w:bCs/>
                <w:sz w:val="26"/>
                <w:szCs w:val="26"/>
              </w:rPr>
              <w:lastRenderedPageBreak/>
              <w:t xml:space="preserve">Confidential Work Highlights in last 12 months </w:t>
            </w:r>
          </w:p>
        </w:tc>
        <w:tc>
          <w:tcPr>
            <w:tcW w:w="40" w:type="dxa"/>
            <w:shd w:val="clear" w:color="auto" w:fill="auto"/>
          </w:tcPr>
          <w:p w:rsidR="00FE41F1" w:rsidRDefault="00FE41F1" w:rsidP="00FE41F1">
            <w:pPr>
              <w:snapToGrid w:val="0"/>
            </w:pPr>
          </w:p>
        </w:tc>
      </w:tr>
      <w:tr w:rsidR="00FE41F1" w:rsidTr="00FE41F1">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FE41F1" w:rsidRDefault="00FE41F1" w:rsidP="00FE41F1">
            <w:pPr>
              <w:snapToGrid w:val="0"/>
              <w:spacing w:line="360" w:lineRule="auto"/>
              <w:jc w:val="center"/>
            </w:pPr>
            <w:r>
              <w:rPr>
                <w:b/>
                <w:bCs/>
                <w:sz w:val="28"/>
                <w:szCs w:val="28"/>
              </w:rPr>
              <w:t xml:space="preserve">Confidential Matter </w:t>
            </w:r>
            <w:r w:rsidRPr="000345C4">
              <w:rPr>
                <w:b/>
                <w:bCs/>
                <w:sz w:val="28"/>
                <w:szCs w:val="28"/>
              </w:rPr>
              <w:t xml:space="preserve">15</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E1 </w:t>
            </w:r>
            <w:r>
              <w:rPr>
                <w:sz w:val="22"/>
                <w:szCs w:val="22"/>
              </w:rPr>
              <w:t>Name of client (for ranking purposes only)</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hd w:val="clear" w:color="auto" w:fill="FFCCCC"/>
              <w:snapToGrid w:val="0"/>
              <w:rPr>
                <w:sz w:val="22"/>
                <w:szCs w:val="22"/>
              </w:rPr>
            </w:pPr>
            <w:r w:rsidRPr="000345C4">
              <w:rPr>
                <w:sz w:val="22"/>
                <w:szCs w:val="22"/>
              </w:rPr>
              <w:t xml:space="preserve">TMF Mexico CMS, S.A.P.I. de C.V., SOFOM, E.N.R,</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FE41F1" w:rsidTr="00FE41F1">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rPr>
                    <w:b/>
                  </w:rPr>
                  <w:t xml:space="preserve">Pérez Correa González</w:t>
                </w:r>
                <w:r>
                  <w:t xml:space="preserve"> advised </w:t>
                </w:r>
                <w:r>
                  <w:rPr>
                    <w:b/>
                  </w:rPr>
                  <w:t xml:space="preserve">TMF</w:t>
                </w:r>
                <w:r>
                  <w:t xml:space="preserve">’s non-bank financial entity on the regulatory and contractual issues arising from its role as </w:t>
                </w:r>
                <w:r>
                  <w:rPr>
                    <w:b/>
                  </w:rPr>
                  <w:t xml:space="preserve">escrow agent</w:t>
                </w:r>
                <w:r>
                  <w:t xml:space="preserve">.</w:t>
                </w:r>
                <w:r>
                  <w:t xml:space="preserve"/>
                  <w:br/>
                  <w:t xml:space="preserve"/>
                </w:r>
                <w:r>
                  <w:t xml:space="preserve"/>
                  <w:br/>
                  <w:t xml:space="preserve"/>
                </w:r>
                <w:r>
                  <w:t xml:space="preserve"/>
                  <w:br/>
                  <w:t xml:space="preserve"/>
                </w:r>
                <w:r>
                  <w:t xml:space="preserve">The firm reviewed the escrow agreement to define the scope of </w:t>
                </w:r>
                <w:r>
                  <w:rPr>
                    <w:b/>
                  </w:rPr>
                  <w:t xml:space="preserve">TMF</w:t>
                </w:r>
                <w:r>
                  <w:t xml:space="preserve">’s obligations, limit liability arising from its administrative role and ensure that it would not be drawn into the interpretation of the underlying transaction. The work required careful drafting because Mexican escrow arrangements are commonly treated as security-style structures and, under current regulations, a </w:t>
                </w:r>
                <w:r>
                  <w:rPr>
                    <w:b/>
                  </w:rPr>
                  <w:t xml:space="preserve">SOFOM</w:t>
                </w:r>
                <w:r>
                  <w:t xml:space="preserve"> may only act as trustee in a </w:t>
                </w:r>
                <w:r>
                  <w:rPr>
                    <w:b/>
                  </w:rPr>
                  <w:t xml:space="preserve">guaranty trust</w:t>
                </w:r>
                <w:r>
                  <w:t xml:space="preserve">.</w:t>
                </w:r>
                <w:r>
                  <w:t xml:space="preserve"/>
                  <w:br/>
                  <w:t xml:space="preserve"/>
                </w:r>
                <w:r>
                  <w:t xml:space="preserve"/>
                  <w:br/>
                  <w:t xml:space="preserve"/>
                </w:r>
                <w:r>
                  <w:t xml:space="preserve"/>
                  <w:br/>
                  <w:t xml:space="preserve"/>
                </w:r>
                <w:r>
                  <w:t xml:space="preserve">The objective was to shape the escrow obligations so they fit within the legal definition of a </w:t>
                </w:r>
                <w:r>
                  <w:rPr>
                    <w:b/>
                  </w:rPr>
                  <w:t xml:space="preserve">guaranty trust</w:t>
                </w:r>
                <w:r>
                  <w:t xml:space="preserve"> under Mexican law while remaining commercially workable and reducing the risk of regulatory or interpretative exposure for </w:t>
                </w:r>
                <w:r>
                  <w:rPr>
                    <w:b/>
                  </w:rPr>
                  <w:t xml:space="preserve">TMF</w:t>
                </w:r>
                <w:r>
                  <w:t xml:space="preserve">.</w:t>
                </w:r>
              </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E3 </w:t>
            </w:r>
            <w:r>
              <w:rPr>
                <w:sz w:val="22"/>
                <w:szCs w:val="22"/>
              </w:rPr>
              <w:t>Matter value – include currency and amount in figures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Undetermined</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Sometimes can have</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E5 </w:t>
            </w:r>
            <w:r>
              <w:rPr>
                <w:sz w:val="22"/>
                <w:szCs w:val="22"/>
              </w:rPr>
              <w:t>Lead partner</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E6 </w:t>
            </w:r>
            <w:r>
              <w:rPr>
                <w:sz w:val="22"/>
                <w:szCs w:val="22"/>
              </w:rPr>
              <w:t>Other team members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Jorge Labastida and Eduardo Yrigoyen</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E7 </w:t>
            </w:r>
            <w:r>
              <w:rPr>
                <w:sz w:val="22"/>
                <w:szCs w:val="22"/>
              </w:rPr>
              <w:t>Other firms advising on the matter and their role(s)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iCs/>
                <w:sz w:val="14"/>
                <w:szCs w:val="14"/>
              </w:rPr>
              <w:t xml:space="preserve">E8 </w:t>
            </w:r>
            <w:r>
              <w:rPr>
                <w:iCs/>
                <w:sz w:val="22"/>
                <w:szCs w:val="22"/>
              </w:rPr>
              <w:t>Date of completion or current status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E9 </w:t>
            </w:r>
            <w:r>
              <w:rPr>
                <w:sz w:val="22"/>
                <w:szCs w:val="22"/>
              </w:rPr>
              <w:t>Other information about this matter – e.g. link to press coverage</w:t>
            </w:r>
          </w:p>
        </w:tc>
      </w:tr>
      <w:tr w:rsidR="00FE41F1" w:rsidTr="00FE41F1">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bCs/>
                <w:sz w:val="22"/>
                <w:szCs w:val="22"/>
              </w:rPr>
            </w:pPr>
            <w:r w:rsidRPr="000345C4">
              <w:rPr>
                <w:sz w:val="22"/>
                <w:szCs w:val="22"/>
              </w:rPr>
              <w:t xml:space="preserve"/>
            </w:r>
          </w:p>
        </w:tc>
      </w:tr>
    </w:tbl>
    <w:p w:rsidR="00FE41F1" w:rsidRPr="00FE41F1" w:rsidRDefault="00FE41F1" w:rsidP="00FE41F1">
      <w:pPr>
        <w:rPr>
          <w:b/>
          <w:bCs/>
          <w:sz w:val="26"/>
          <w:szCs w:val="26"/>
        </w:rPr>
      </w:pPr>
    </w:p>
    <w:p w:rsidR="00AB2803" w:rsidRDefault="00AB2803" w:rsidP="00AB2803">
      <w:pPr>
        <w:keepNext/>
        <w:jc w:val="center"/>
        <w:rPr>
          <w:b/>
          <w:bCs/>
          <w:u w:val="single"/>
        </w:rPr>
      </w:pPr>
      <w:r>
        <w:rPr>
          <w:b/>
          <w:bCs/>
          <w:u w:val="single"/>
        </w:rPr>
        <w:t xml:space="preserve">IMPORTANT: Please do not exceed one page per deal.</w:t>
      </w:r>
    </w:p>
    <w:p w:rsidR="00FE41F1" w:rsidRDefault="00FE41F1" w:rsidP="00FE41F1">
      <w:pPr>
        <w:keepNext/>
        <w:rPr>
          <w:b/>
          <w:bCs/>
          <w:u w:val="single"/>
        </w:rPr>
      </w:pPr>
    </w:p>
    <w:p w:rsidR="00B9523C" w:rsidRDefault="00B9523C" w:rsidP="00B11E3F">
      <w:pPr>
        <w:keepNext/>
        <w:rPr>
          <w:b/>
          <w:bCs/>
          <w:u w:val="single"/>
        </w:rPr>
      </w:pPr>
    </w:p>
    <w:p w:rsidR="00FE41F1" w:rsidRDefault="00FE41F1">
      <w:pPr>
        <w:widowControl/>
        <w:suppressAutoHyphens w:val="0"/>
        <w:rPr>
          <w:b/>
          <w:bCs/>
          <w:sz w:val="26"/>
          <w:szCs w:val="26"/>
        </w:rPr>
      </w:pPr>
      <w:r>
        <w:rPr>
          <w:b/>
          <w:bCs/>
          <w:sz w:val="26"/>
          <w:szCs w:val="26"/>
        </w:rPr>
        <w:br w:type="page"/>
      </w:r>
    </w:p>
    <w:tbl>
      <w:tblPr>
        <w:tblpPr w:leftFromText="180" w:rightFromText="180" w:vertAnchor="text" w:horzAnchor="margin" w:tblpY="-27"/>
        <w:tblW w:w="9679" w:type="dxa"/>
        <w:tblLayout w:type="fixed"/>
        <w:tblCellMar>
          <w:left w:w="0" w:type="dxa"/>
          <w:right w:w="0" w:type="dxa"/>
        </w:tblCellMar>
        <w:tblLook w:val="0000" w:firstRow="0" w:lastRow="0" w:firstColumn="0" w:lastColumn="0" w:noHBand="0" w:noVBand="0"/>
      </w:tblPr>
      <w:tblGrid>
        <w:gridCol w:w="9639"/>
        <w:gridCol w:w="40"/>
      </w:tblGrid>
      <w:tr w:rsidR="00FE41F1" w:rsidTr="00FE41F1">
        <w:trPr>
          <w:trHeight w:val="345"/>
        </w:trPr>
        <w:tc>
          <w:tcPr>
            <w:tcW w:w="9639" w:type="dxa"/>
            <w:shd w:val="clear" w:color="auto" w:fill="FFFFFF"/>
          </w:tcPr>
          <w:p w:rsidR="00FE41F1" w:rsidRPr="00FE41F1" w:rsidRDefault="00FE41F1" w:rsidP="00FE41F1">
            <w:pPr>
              <w:shd w:val="clear" w:color="auto" w:fill="FFFFFF"/>
              <w:snapToGrid w:val="0"/>
              <w:spacing w:line="360" w:lineRule="auto"/>
              <w:rPr>
                <w:b/>
                <w:bCs/>
                <w:sz w:val="26"/>
                <w:szCs w:val="26"/>
              </w:rPr>
            </w:pPr>
            <w:r>
              <w:rPr>
                <w:b/>
                <w:bCs/>
                <w:sz w:val="26"/>
                <w:szCs w:val="26"/>
              </w:rPr>
              <w:lastRenderedPageBreak/>
              <w:t xml:space="preserve">Confidential Work Highlights in last 12 months </w:t>
            </w:r>
          </w:p>
        </w:tc>
        <w:tc>
          <w:tcPr>
            <w:tcW w:w="40" w:type="dxa"/>
            <w:shd w:val="clear" w:color="auto" w:fill="auto"/>
          </w:tcPr>
          <w:p w:rsidR="00FE41F1" w:rsidRDefault="00FE41F1" w:rsidP="00FE41F1">
            <w:pPr>
              <w:snapToGrid w:val="0"/>
            </w:pPr>
          </w:p>
        </w:tc>
      </w:tr>
      <w:tr w:rsidR="00FE41F1" w:rsidTr="00FE41F1">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FE41F1" w:rsidRDefault="00FE41F1" w:rsidP="00FE41F1">
            <w:pPr>
              <w:snapToGrid w:val="0"/>
              <w:spacing w:line="360" w:lineRule="auto"/>
              <w:jc w:val="center"/>
            </w:pPr>
            <w:r>
              <w:rPr>
                <w:b/>
                <w:bCs/>
                <w:sz w:val="28"/>
                <w:szCs w:val="28"/>
              </w:rPr>
              <w:t xml:space="preserve">Confidential Matter </w:t>
            </w:r>
            <w:r w:rsidRPr="000345C4">
              <w:rPr>
                <w:b/>
                <w:bCs/>
                <w:sz w:val="28"/>
                <w:szCs w:val="28"/>
              </w:rPr>
              <w:t xml:space="preserve">16</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E1 </w:t>
            </w:r>
            <w:r>
              <w:rPr>
                <w:sz w:val="22"/>
                <w:szCs w:val="22"/>
              </w:rPr>
              <w:t>Name of client (for ranking purposes only)</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hd w:val="clear" w:color="auto" w:fill="FFCCCC"/>
              <w:snapToGrid w:val="0"/>
              <w:rPr>
                <w:sz w:val="22"/>
                <w:szCs w:val="22"/>
              </w:rPr>
            </w:pPr>
            <w:r w:rsidRPr="000345C4">
              <w:rPr>
                <w:sz w:val="22"/>
                <w:szCs w:val="22"/>
              </w:rPr>
              <w:t xml:space="preserve">
                <w:r>
                  <w:rPr>
                    <w:b/>
                  </w:rPr>
                  <w:t xml:space="preserve">United States International Development Finance Corporation (“DFC”)</w:t>
                </w:r>
                <w:r>
                  <w:t xml:space="preserve"> - is a development finance institution and agency of the </w:t>
                </w:r>
                <w:r>
                  <w:rPr>
                    <w:b/>
                  </w:rPr>
                  <w:t xml:space="preserve">United States federal government</w:t>
                </w:r>
                <w:r>
                  <w:t xml:space="preserve">.</w:t>
                </w:r>
              </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FE41F1" w:rsidTr="00FE41F1">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rPr>
                    <w:b/>
                  </w:rPr>
                  <w:t xml:space="preserve">Pérez Correa González</w:t>
                </w:r>
                <w:r>
                  <w:t xml:space="preserve"> represented </w:t>
                </w:r>
                <w:r>
                  <w:rPr>
                    <w:b/>
                  </w:rPr>
                  <w:t xml:space="preserve">DFC</w:t>
                </w:r>
                <w:r>
                  <w:t xml:space="preserve"> in the negotiation and restructuring of a </w:t>
                </w:r>
                <w:r>
                  <w:rPr>
                    <w:b/>
                  </w:rPr>
                  <w:t xml:space="preserve">USD 45 million</w:t>
                </w:r>
                <w:r>
                  <w:t xml:space="preserve"> credit facility granted to </w:t>
                </w:r>
                <w:r>
                  <w:rPr>
                    <w:b/>
                  </w:rPr>
                  <w:t xml:space="preserve">Mexarrend, S.A.P.I. de C.V.</w:t>
                </w:r>
                <w:r>
                  <w:t xml:space="preserve"> (now </w:t>
                </w:r>
                <w:r>
                  <w:rPr>
                    <w:b/>
                  </w:rPr>
                  <w:t xml:space="preserve">Tangelo</w:t>
                </w:r>
                <w:r>
                  <w:t xml:space="preserve">) and </w:t>
                </w:r>
                <w:r>
                  <w:rPr>
                    <w:b/>
                  </w:rPr>
                  <w:t xml:space="preserve">Inversiones y Colocaciones Inmobiliarias, S.A.P.I. de C.V.</w:t>
                </w:r>
                <w:r>
                  <w:t xml:space="preserve"> (</w:t>
                </w:r>
                <w:r>
                  <w:rPr>
                    <w:b/>
                  </w:rPr>
                  <w:t xml:space="preserve">ICI</w:t>
                </w:r>
                <w:r>
                  <w:t xml:space="preserve">) after </w:t>
                </w:r>
                <w:r>
                  <w:rPr>
                    <w:b/>
                  </w:rPr>
                  <w:t xml:space="preserve">Tangelo</w:t>
                </w:r>
                <w:r>
                  <w:t xml:space="preserve"> defaulted on interest payments under an international bond, triggering a cross-default under the </w:t>
                </w:r>
                <w:r>
                  <w:rPr>
                    <w:b/>
                  </w:rPr>
                  <w:t xml:space="preserve">DFC</w:t>
                </w:r>
                <w:r>
                  <w:t xml:space="preserve"> financing agreement.</w:t>
                </w:r>
                <w:r>
                  <w:t xml:space="preserve"/>
                  <w:br/>
                  <w:t xml:space="preserve"/>
                </w:r>
                <w:r>
                  <w:t xml:space="preserve"/>
                  <w:br/>
                  <w:t xml:space="preserve"/>
                </w:r>
                <w:r>
                  <w:t xml:space="preserve"/>
                  <w:br/>
                  <w:t xml:space="preserve"/>
                </w:r>
                <w:r>
                  <w:t xml:space="preserve">The collateral package was built around receivables generated by SME lending and the related collections, using a two-tier trust structure: a master collection trust that received borrower payments and distributed them among several creditor facilities, including </w:t>
                </w:r>
                <w:r>
                  <w:rPr>
                    <w:b/>
                  </w:rPr>
                  <w:t xml:space="preserve">DFC</w:t>
                </w:r>
                <w:r>
                  <w:t xml:space="preserve">’s, and a guaranty trust in favour of </w:t>
                </w:r>
                <w:r>
                  <w:rPr>
                    <w:b/>
                  </w:rPr>
                  <w:t xml:space="preserve">Mexarrend</w:t>
                </w:r>
                <w:r>
                  <w:t xml:space="preserve"> that held the SME receivables. The restructuring took place against the backdrop of the highly publicised failures of </w:t>
                </w:r>
                <w:r>
                  <w:rPr>
                    <w:b/>
                  </w:rPr>
                  <w:t xml:space="preserve">Crédito Real</w:t>
                </w:r>
                <w:r>
                  <w:t xml:space="preserve"> and </w:t>
                </w:r>
                <w:r>
                  <w:rPr>
                    <w:b/>
                  </w:rPr>
                  <w:t xml:space="preserve">Unifin</w:t>
                </w:r>
                <w:r>
                  <w:t xml:space="preserve">, which made the negotiations particularly sensitive.</w:t>
                </w:r>
                <w:r>
                  <w:t xml:space="preserve"/>
                  <w:br/>
                  <w:t xml:space="preserve"/>
                </w:r>
                <w:r>
                  <w:t xml:space="preserve"/>
                  <w:br/>
                  <w:t xml:space="preserve"/>
                </w:r>
                <w:r>
                  <w:t xml:space="preserve"/>
                  <w:br/>
                  <w:t xml:space="preserve"/>
                </w:r>
                <w:r>
                  <w:rPr>
                    <w:color w:val="FF0000"/>
                  </w:rPr>
                  <w:t xml:space="preserve">[CONFIDENTIAL] The negotiations became more complex after bondholders under the international bond brought a claim against </w:t>
                </w:r>
                <w:r>
                  <w:rPr>
                    <w:color w:val="FF0000"/>
                    <w:b/>
                  </w:rPr>
                  <w:t xml:space="preserve">Tangelo</w:t>
                </w:r>
                <w:r>
                  <w:rPr>
                    <w:color w:val="FF0000"/>
                  </w:rPr>
                  <w:t xml:space="preserve">, resulting in the attachment of its assets, including the funds held in the master collection trust. </w:t>
                </w:r>
                <w:r>
                  <w:rPr>
                    <w:color w:val="FF0000"/>
                    <w:b/>
                  </w:rPr>
                  <w:t xml:space="preserve">Pérez Correa González</w:t>
                </w:r>
                <w:r>
                  <w:rPr>
                    <w:color w:val="FF0000"/>
                  </w:rPr>
                  <w:t xml:space="preserve"> had to coordinate with </w:t>
                </w:r>
                <w:r>
                  <w:rPr>
                    <w:color w:val="FF0000"/>
                    <w:b/>
                  </w:rPr>
                  <w:t xml:space="preserve">Tangelo</w:t>
                </w:r>
                <w:r>
                  <w:rPr>
                    <w:color w:val="FF0000"/>
                  </w:rPr>
                  <w:t xml:space="preserve"> on the restructuring of the </w:t>
                </w:r>
                <w:r>
                  <w:rPr>
                    <w:color w:val="FF0000"/>
                    <w:b/>
                  </w:rPr>
                  <w:t xml:space="preserve">DFC</w:t>
                </w:r>
                <w:r>
                  <w:rPr>
                    <w:color w:val="FF0000"/>
                  </w:rPr>
                  <w:t xml:space="preserve"> facility and with other creditors on how to address the attachment and preserve the structure.</w:t>
                </w:r>
                <w:r>
                  <w:t xml:space="preserve"/>
                  <w:br/>
                  <w:t xml:space="preserve"/>
                </w:r>
                <w:r>
                  <w:t xml:space="preserve"/>
                  <w:br/>
                  <w:t xml:space="preserve"/>
                </w:r>
                <w:r>
                  <w:t xml:space="preserve"/>
                  <w:br/>
                  <w:t xml:space="preserve"/>
                </w:r>
                <w:r>
                  <w:t xml:space="preserve">The matter reflects the firm’s ability to manage distressed </w:t>
                </w:r>
                <w:r>
                  <w:rPr>
                    <w:b/>
                  </w:rPr>
                  <w:t xml:space="preserve">Cross-Border Financing</w:t>
                </w:r>
                <w:r>
                  <w:t xml:space="preserve"> involving trust structures, competing creditor claims and fast-moving enforcement issues.</w:t>
                </w:r>
              </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E3 </w:t>
            </w:r>
            <w:r>
              <w:rPr>
                <w:sz w:val="22"/>
                <w:szCs w:val="22"/>
              </w:rPr>
              <w:t>Matter value – include currency and amount in figures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USD 45 million.</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Yes. USA and Mexico.</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E5 </w:t>
            </w:r>
            <w:r>
              <w:rPr>
                <w:sz w:val="22"/>
                <w:szCs w:val="22"/>
              </w:rPr>
              <w:t>Lead partner</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E6 </w:t>
            </w:r>
            <w:r>
              <w:rPr>
                <w:sz w:val="22"/>
                <w:szCs w:val="22"/>
              </w:rPr>
              <w:t>Other team members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Jorge Labastida and Eduardo Yrigoyen</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E7 </w:t>
            </w:r>
            <w:r>
              <w:rPr>
                <w:sz w:val="22"/>
                <w:szCs w:val="22"/>
              </w:rPr>
              <w:t>Other firms advising on the matter and their role(s)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iCs/>
                <w:sz w:val="14"/>
                <w:szCs w:val="14"/>
              </w:rPr>
              <w:t xml:space="preserve">E8 </w:t>
            </w:r>
            <w:r>
              <w:rPr>
                <w:iCs/>
                <w:sz w:val="22"/>
                <w:szCs w:val="22"/>
              </w:rPr>
              <w:t>Date of completion or current status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E9 </w:t>
            </w:r>
            <w:r>
              <w:rPr>
                <w:sz w:val="22"/>
                <w:szCs w:val="22"/>
              </w:rPr>
              <w:t>Other information about this matter – e.g. link to press coverage</w:t>
            </w:r>
          </w:p>
        </w:tc>
      </w:tr>
      <w:tr w:rsidR="00FE41F1" w:rsidTr="00FE41F1">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bCs/>
                <w:sz w:val="22"/>
                <w:szCs w:val="22"/>
              </w:rPr>
            </w:pPr>
            <w:r w:rsidRPr="000345C4">
              <w:rPr>
                <w:sz w:val="22"/>
                <w:szCs w:val="22"/>
              </w:rPr>
              <w:t xml:space="preserve"/>
            </w:r>
          </w:p>
        </w:tc>
      </w:tr>
    </w:tbl>
    <w:p w:rsidR="00FE41F1" w:rsidRPr="00FE41F1" w:rsidRDefault="00FE41F1" w:rsidP="00FE41F1">
      <w:pPr>
        <w:rPr>
          <w:b/>
          <w:bCs/>
          <w:sz w:val="26"/>
          <w:szCs w:val="26"/>
        </w:rPr>
      </w:pPr>
    </w:p>
    <w:p w:rsidR="00AB2803" w:rsidRDefault="00AB2803" w:rsidP="00AB2803">
      <w:pPr>
        <w:keepNext/>
        <w:jc w:val="center"/>
        <w:rPr>
          <w:b/>
          <w:bCs/>
          <w:u w:val="single"/>
        </w:rPr>
      </w:pPr>
      <w:r>
        <w:rPr>
          <w:b/>
          <w:bCs/>
          <w:u w:val="single"/>
        </w:rPr>
        <w:t xml:space="preserve">IMPORTANT: Please do not exceed one page per deal.</w:t>
      </w:r>
    </w:p>
    <w:p w:rsidR="00FE41F1" w:rsidRDefault="00FE41F1" w:rsidP="00FE41F1">
      <w:pPr>
        <w:keepNext/>
        <w:rPr>
          <w:b/>
          <w:bCs/>
          <w:u w:val="single"/>
        </w:rPr>
      </w:pPr>
    </w:p>
    <w:p w:rsidR="00B9523C" w:rsidRDefault="00B9523C" w:rsidP="00B11E3F">
      <w:pPr>
        <w:keepNext/>
        <w:rPr>
          <w:b/>
          <w:bCs/>
          <w:u w:val="single"/>
        </w:rPr>
      </w:pPr>
    </w:p>
    <w:p w:rsidR="00FE41F1" w:rsidRDefault="00FE41F1">
      <w:pPr>
        <w:widowControl/>
        <w:suppressAutoHyphens w:val="0"/>
        <w:rPr>
          <w:b/>
          <w:bCs/>
          <w:sz w:val="26"/>
          <w:szCs w:val="26"/>
        </w:rPr>
      </w:pPr>
      <w:r>
        <w:rPr>
          <w:b/>
          <w:bCs/>
          <w:sz w:val="26"/>
          <w:szCs w:val="26"/>
        </w:rPr>
        <w:br w:type="page"/>
      </w:r>
    </w:p>
    <w:tbl>
      <w:tblPr>
        <w:tblpPr w:leftFromText="180" w:rightFromText="180" w:vertAnchor="text" w:horzAnchor="margin" w:tblpY="-27"/>
        <w:tblW w:w="9679" w:type="dxa"/>
        <w:tblLayout w:type="fixed"/>
        <w:tblCellMar>
          <w:left w:w="0" w:type="dxa"/>
          <w:right w:w="0" w:type="dxa"/>
        </w:tblCellMar>
        <w:tblLook w:val="0000" w:firstRow="0" w:lastRow="0" w:firstColumn="0" w:lastColumn="0" w:noHBand="0" w:noVBand="0"/>
      </w:tblPr>
      <w:tblGrid>
        <w:gridCol w:w="9639"/>
        <w:gridCol w:w="40"/>
      </w:tblGrid>
      <w:tr w:rsidR="00FE41F1" w:rsidTr="00FE41F1">
        <w:trPr>
          <w:trHeight w:val="345"/>
        </w:trPr>
        <w:tc>
          <w:tcPr>
            <w:tcW w:w="9639" w:type="dxa"/>
            <w:shd w:val="clear" w:color="auto" w:fill="FFFFFF"/>
          </w:tcPr>
          <w:p w:rsidR="00FE41F1" w:rsidRPr="00FE41F1" w:rsidRDefault="00FE41F1" w:rsidP="00FE41F1">
            <w:pPr>
              <w:shd w:val="clear" w:color="auto" w:fill="FFFFFF"/>
              <w:snapToGrid w:val="0"/>
              <w:spacing w:line="360" w:lineRule="auto"/>
              <w:rPr>
                <w:b/>
                <w:bCs/>
                <w:sz w:val="26"/>
                <w:szCs w:val="26"/>
              </w:rPr>
            </w:pPr>
            <w:r>
              <w:rPr>
                <w:b/>
                <w:bCs/>
                <w:sz w:val="26"/>
                <w:szCs w:val="26"/>
              </w:rPr>
              <w:lastRenderedPageBreak/>
              <w:t xml:space="preserve">Confidential Work Highlights in last 12 months </w:t>
            </w:r>
          </w:p>
        </w:tc>
        <w:tc>
          <w:tcPr>
            <w:tcW w:w="40" w:type="dxa"/>
            <w:shd w:val="clear" w:color="auto" w:fill="auto"/>
          </w:tcPr>
          <w:p w:rsidR="00FE41F1" w:rsidRDefault="00FE41F1" w:rsidP="00FE41F1">
            <w:pPr>
              <w:snapToGrid w:val="0"/>
            </w:pPr>
          </w:p>
        </w:tc>
      </w:tr>
      <w:tr w:rsidR="00FE41F1" w:rsidTr="00FE41F1">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FE41F1" w:rsidRDefault="00FE41F1" w:rsidP="00FE41F1">
            <w:pPr>
              <w:snapToGrid w:val="0"/>
              <w:spacing w:line="360" w:lineRule="auto"/>
              <w:jc w:val="center"/>
            </w:pPr>
            <w:r>
              <w:rPr>
                <w:b/>
                <w:bCs/>
                <w:sz w:val="28"/>
                <w:szCs w:val="28"/>
              </w:rPr>
              <w:t xml:space="preserve">Confidential Matter </w:t>
            </w:r>
            <w:r w:rsidRPr="000345C4">
              <w:rPr>
                <w:b/>
                <w:bCs/>
                <w:sz w:val="28"/>
                <w:szCs w:val="28"/>
              </w:rPr>
              <w:t xml:space="preserve">17</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E1 </w:t>
            </w:r>
            <w:r>
              <w:rPr>
                <w:sz w:val="22"/>
                <w:szCs w:val="22"/>
              </w:rPr>
              <w:t>Name of client (for ranking purposes only)</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hd w:val="clear" w:color="auto" w:fill="FFCCCC"/>
              <w:snapToGrid w:val="0"/>
              <w:rPr>
                <w:sz w:val="22"/>
                <w:szCs w:val="22"/>
              </w:rPr>
            </w:pPr>
            <w:r w:rsidRPr="000345C4">
              <w:rPr>
                <w:sz w:val="22"/>
                <w:szCs w:val="22"/>
              </w:rPr>
              <w:t xml:space="preserve">Elevva LLC (“Elevva”)</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FE41F1" w:rsidTr="00FE41F1">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rPr>
                    <w:b/>
                  </w:rPr>
                  <w:t xml:space="preserve">PCG</w:t>
                </w:r>
                <w:r>
                  <w:t xml:space="preserve"> advised </w:t>
                </w:r>
                <w:r>
                  <w:rPr>
                    <w:b/>
                  </w:rPr>
                  <w:t xml:space="preserve">Elevva</w:t>
                </w:r>
                <w:r>
                  <w:t xml:space="preserve"> on the negotiation and structuring of collateral documentation for a </w:t>
                </w:r>
                <w:r>
                  <w:rPr>
                    <w:b/>
                  </w:rPr>
                  <w:t xml:space="preserve">New York law</w:t>
                </w:r>
                <w:r>
                  <w:t xml:space="preserve">-governed convertible note facility (the “Facility”) provided by </w:t>
                </w:r>
                <w:r>
                  <w:rPr>
                    <w:b/>
                  </w:rPr>
                  <w:t xml:space="preserve">Balanz</w:t>
                </w:r>
                <w:r>
                  <w:t xml:space="preserve">, an Argentine investment group, with </w:t>
                </w:r>
                <w:r>
                  <w:rPr>
                    <w:b/>
                  </w:rPr>
                  <w:t xml:space="preserve">Elevva Holding</w:t>
                </w:r>
                <w:r>
                  <w:t xml:space="preserve"> as issuer and </w:t>
                </w:r>
                <w:r>
                  <w:rPr>
                    <w:b/>
                  </w:rPr>
                  <w:t xml:space="preserve">Elevva LLC</w:t>
                </w:r>
                <w:r>
                  <w:t xml:space="preserve"> as guarantor.</w:t>
                </w:r>
                <w:r>
                  <w:t xml:space="preserve"/>
                  <w:br/>
                  <w:t xml:space="preserve"/>
                </w:r>
                <w:r>
                  <w:t xml:space="preserve"/>
                  <w:br/>
                  <w:t xml:space="preserve"/>
                </w:r>
                <w:r>
                  <w:t xml:space="preserve"/>
                  <w:br/>
                  <w:t xml:space="preserve"/>
                </w:r>
                <w:r>
                  <w:t xml:space="preserve">The financing was secured by receivables generated by </w:t>
                </w:r>
                <w:r>
                  <w:rPr>
                    <w:b/>
                  </w:rPr>
                  <w:t xml:space="preserve">Top Living</w:t>
                </w:r>
                <w:r>
                  <w:t xml:space="preserve">, one of </w:t>
                </w:r>
                <w:r>
                  <w:rPr>
                    <w:b/>
                  </w:rPr>
                  <w:t xml:space="preserve">Elevva LLC</w:t>
                </w:r>
                <w:r>
                  <w:t xml:space="preserve">’s brands, from sales to Mexican customers through </w:t>
                </w:r>
                <w:r>
                  <w:rPr>
                    <w:b/>
                  </w:rPr>
                  <w:t xml:space="preserve">Amazon</w:t>
                </w:r>
                <w:r>
                  <w:t xml:space="preserve">. The structure provided </w:t>
                </w:r>
                <w:r>
                  <w:rPr>
                    <w:b/>
                  </w:rPr>
                  <w:t xml:space="preserve">Elevva</w:t>
                </w:r>
                <w:r>
                  <w:t xml:space="preserve"> with access to a </w:t>
                </w:r>
                <w:r>
                  <w:rPr>
                    <w:b/>
                  </w:rPr>
                  <w:t xml:space="preserve">USD 4,500,000</w:t>
                </w:r>
                <w:r>
                  <w:t xml:space="preserve"> credit facility to support growth and broader strategic objectives.</w:t>
                </w:r>
                <w:r>
                  <w:t xml:space="preserve"/>
                  <w:br/>
                  <w:t xml:space="preserve"/>
                </w:r>
                <w:r>
                  <w:t xml:space="preserve"/>
                  <w:br/>
                  <w:t xml:space="preserve"/>
                </w:r>
                <w:r>
                  <w:t xml:space="preserve"/>
                  <w:br/>
                  <w:t xml:space="preserve"/>
                </w:r>
                <w:r>
                  <w:rPr>
                    <w:b/>
                  </w:rPr>
                  <w:t xml:space="preserve">PCG</w:t>
                </w:r>
                <w:r>
                  <w:t xml:space="preserve"> played a central role in structuring and negotiating the collateral package, including the mechanics for transferring receivables proceeds to the Mexican </w:t>
                </w:r>
                <w:r>
                  <w:rPr>
                    <w:b/>
                  </w:rPr>
                  <w:t xml:space="preserve">SPV</w:t>
                </w:r>
                <w:r>
                  <w:t xml:space="preserve"> established to secure the note. The principal challenge was that the receivables were paid directly into an account authorised by </w:t>
                </w:r>
                <w:r>
                  <w:rPr>
                    <w:b/>
                  </w:rPr>
                  <w:t xml:space="preserve">Amazon</w:t>
                </w:r>
                <w:r>
                  <w:t xml:space="preserve">, making a conventional redirection process impractical because obtaining </w:t>
                </w:r>
                <w:r>
                  <w:rPr>
                    <w:b/>
                  </w:rPr>
                  <w:t xml:space="preserve">Amazon</w:t>
                </w:r>
                <w:r>
                  <w:t xml:space="preserve">’s authorisation would have taken weeks. </w:t>
                </w:r>
                <w:r>
                  <w:rPr>
                    <w:b/>
                  </w:rPr>
                  <w:t xml:space="preserve">PCG</w:t>
                </w:r>
                <w:r>
                  <w:t xml:space="preserve"> therefore worked with </w:t>
                </w:r>
                <w:r>
                  <w:rPr>
                    <w:b/>
                  </w:rPr>
                  <w:t xml:space="preserve">Amazon</w:t>
                </w:r>
                <w:r>
                  <w:t xml:space="preserve"> to engineer a more workable solution that preserved the security architecture and ensured the funds were channelled to the </w:t>
                </w:r>
                <w:r>
                  <w:rPr>
                    <w:b/>
                  </w:rPr>
                  <w:t xml:space="preserve">SPV</w:t>
                </w:r>
                <w:r>
                  <w:t xml:space="preserve"> in line with the noteholder’s requirements.</w:t>
                </w:r>
                <w:r>
                  <w:t xml:space="preserve"/>
                  <w:br/>
                  <w:t xml:space="preserve"/>
                </w:r>
                <w:r>
                  <w:t xml:space="preserve"/>
                  <w:br/>
                  <w:t xml:space="preserve"/>
                </w:r>
                <w:r>
                  <w:t xml:space="preserve"/>
                  <w:br/>
                  <w:t xml:space="preserve"/>
                </w:r>
                <w:r>
                  <w:t xml:space="preserve">The mandate required close alignment between the note documentation, the collateral package and the operational realities of a cross-border e-commerce receivables structure. </w:t>
                </w:r>
                <w:r>
                  <w:rPr>
                    <w:b/>
                  </w:rPr>
                  <w:t xml:space="preserve">PCG</w:t>
                </w:r>
                <w:r>
                  <w:t xml:space="preserve">’s ability to balance lender protections with the borrower’s commercial needs supported a financing that was both legally workable and tailored to the business model of a fast-growing Latin American brand aggregator.</w:t>
                </w:r>
              </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E3 </w:t>
            </w:r>
            <w:r>
              <w:rPr>
                <w:sz w:val="22"/>
                <w:szCs w:val="22"/>
              </w:rPr>
              <w:t>Matter value – include currency and amount in figures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USD 4.5 million</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USA and Mexico.</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E5 </w:t>
            </w:r>
            <w:r>
              <w:rPr>
                <w:sz w:val="22"/>
                <w:szCs w:val="22"/>
              </w:rPr>
              <w:t>Lead partner</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E6 </w:t>
            </w:r>
            <w:r>
              <w:rPr>
                <w:sz w:val="22"/>
                <w:szCs w:val="22"/>
              </w:rPr>
              <w:t>Other team members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Eduardo Yrigoyen</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E7 </w:t>
            </w:r>
            <w:r>
              <w:rPr>
                <w:sz w:val="22"/>
                <w:szCs w:val="22"/>
              </w:rPr>
              <w:t>Other firms advising on the matter and their role(s)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iCs/>
                <w:sz w:val="14"/>
                <w:szCs w:val="14"/>
              </w:rPr>
              <w:t xml:space="preserve">E8 </w:t>
            </w:r>
            <w:r>
              <w:rPr>
                <w:iCs/>
                <w:sz w:val="22"/>
                <w:szCs w:val="22"/>
              </w:rPr>
              <w:t>Date of completion or current status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xml:space="preserve"/>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E9 </w:t>
            </w:r>
            <w:r>
              <w:rPr>
                <w:sz w:val="22"/>
                <w:szCs w:val="22"/>
              </w:rPr>
              <w:t>Other information about this matter – e.g. link to press coverage</w:t>
            </w:r>
          </w:p>
        </w:tc>
      </w:tr>
      <w:tr w:rsidR="00FE41F1" w:rsidTr="00FE41F1">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bCs/>
                <w:sz w:val="22"/>
                <w:szCs w:val="22"/>
              </w:rPr>
            </w:pPr>
            <w:r w:rsidRPr="000345C4">
              <w:rPr>
                <w:sz w:val="22"/>
                <w:szCs w:val="22"/>
              </w:rPr>
              <w:t xml:space="preserve"/>
            </w:r>
          </w:p>
        </w:tc>
      </w:tr>
    </w:tbl>
    <w:p w:rsidR="00FE41F1" w:rsidRPr="00FE41F1" w:rsidRDefault="00FE41F1" w:rsidP="00FE41F1">
      <w:pPr>
        <w:rPr>
          <w:b/>
          <w:bCs/>
          <w:sz w:val="26"/>
          <w:szCs w:val="26"/>
        </w:rPr>
      </w:pPr>
    </w:p>
    <w:p w:rsidR="00AB2803" w:rsidRDefault="00AB2803" w:rsidP="00AB2803">
      <w:pPr>
        <w:keepNext/>
        <w:jc w:val="center"/>
        <w:rPr>
          <w:b/>
          <w:bCs/>
          <w:u w:val="single"/>
        </w:rPr>
      </w:pPr>
      <w:r>
        <w:rPr>
          <w:b/>
          <w:bCs/>
          <w:u w:val="single"/>
        </w:rPr>
        <w:t xml:space="preserve">IMPORTANT: Please do not exceed one page per deal.</w:t>
      </w:r>
    </w:p>
    <w:p w:rsidR="00FE41F1" w:rsidRDefault="00FE41F1" w:rsidP="00FE41F1">
      <w:pPr>
        <w:keepNext/>
        <w:rPr>
          <w:b/>
          <w:bCs/>
          <w:u w:val="single"/>
        </w:rPr>
      </w:pPr>
    </w:p>
    <w:p w:rsidR="00B9523C" w:rsidRDefault="00B9523C" w:rsidP="00B11E3F">
      <w:pPr>
        <w:keepNext/>
        <w:rPr>
          <w:b/>
          <w:bCs/>
          <w:u w:val="single"/>
        </w:rPr>
      </w:pPr>
    </w:p>
    <w:sectPr w:rsidR="007E54D8" w:rsidRPr="007E54D8">
      <w:headerReference w:type="default" r:id="rId17"/>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1794" w:rsidRDefault="00171794" w:rsidP="00E854E3">
      <w:r>
        <w:separator/>
      </w:r>
    </w:p>
  </w:endnote>
  <w:endnote w:type="continuationSeparator" w:id="0">
    <w:p w:rsidR="00171794" w:rsidRDefault="00171794" w:rsidP="00E854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altName w:val="Liberation Mono"/>
    <w:panose1 w:val="00000400000000000000"/>
    <w:charset w:val="01"/>
    <w:family w:val="roman"/>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45C4" w:rsidRPr="008A1026" w:rsidRDefault="000345C4" w:rsidP="008A1026">
    <w:pPr>
      <w:pStyle w:val="Sinespaciado"/>
      <w:jc w:val="center"/>
      <w:rPr>
        <w:b/>
        <w:bCs/>
        <w:sz w:val="20"/>
        <w:szCs w:val="20"/>
      </w:rPr>
    </w:pPr>
    <w:r w:rsidRPr="00546F7C">
      <w:rPr>
        <w:b/>
        <w:bCs/>
        <w:sz w:val="20"/>
        <w:szCs w:val="20"/>
      </w:rPr>
      <w:t xml:space="preserve">Please upload completed submissions online at </w:t>
    </w:r>
    <w:hyperlink r:id="rId1" w:history="1">
      <w:r w:rsidRPr="000F7F20">
        <w:rPr>
          <w:rStyle w:val="Hipervnculo"/>
          <w:rFonts w:cs="Times New Roman"/>
          <w:b/>
          <w:bCs/>
          <w:sz w:val="20"/>
          <w:szCs w:val="20"/>
        </w:rPr>
        <w:t>https://myaccount.chambers.com</w:t>
      </w:r>
    </w:hyperlink>
    <w:r>
      <w:rPr>
        <w:rFonts w:cs="Times New Roman"/>
        <w:b/>
        <w:bCs/>
        <w:sz w:val="20"/>
        <w:szCs w:val="20"/>
      </w:rPr>
      <w:t xml:space="preserve"> </w:t>
    </w:r>
  </w:p>
  <w:p w:rsidR="000345C4" w:rsidRPr="008A1026" w:rsidRDefault="000345C4" w:rsidP="008A1026">
    <w:pPr>
      <w:rPr>
        <w:rFonts w:cs="Times New Roman"/>
        <w:sz w:val="20"/>
        <w:szCs w:val="20"/>
      </w:rPr>
    </w:pPr>
    <w:r w:rsidRPr="008A1026">
      <w:rPr>
        <w:rFonts w:cs="Times New Roman"/>
        <w:sz w:val="20"/>
        <w:szCs w:val="20"/>
      </w:rPr>
      <w:t xml:space="preserve">You will need a username and password to manage your submission and profile. If you do not have an account with Chambers, please </w:t>
    </w:r>
    <w:proofErr w:type="spellStart"/>
    <w:r w:rsidRPr="008A1026">
      <w:rPr>
        <w:rFonts w:cs="Times New Roman"/>
        <w:sz w:val="20"/>
        <w:szCs w:val="20"/>
      </w:rPr>
      <w:t>onboard</w:t>
    </w:r>
    <w:proofErr w:type="spellEnd"/>
    <w:r w:rsidRPr="008A1026">
      <w:rPr>
        <w:rFonts w:cs="Times New Roman"/>
        <w:sz w:val="20"/>
        <w:szCs w:val="20"/>
      </w:rPr>
      <w:t xml:space="preserve"> here:</w:t>
    </w:r>
    <w:r>
      <w:rPr>
        <w:rFonts w:cs="Times New Roman"/>
        <w:sz w:val="20"/>
        <w:szCs w:val="20"/>
      </w:rPr>
      <w:t xml:space="preserve"> </w:t>
    </w:r>
    <w:hyperlink r:id="rId2" w:history="1">
      <w:r w:rsidRPr="00E537A7">
        <w:rPr>
          <w:rStyle w:val="Hipervnculo"/>
          <w:rFonts w:cs="Times New Roman"/>
          <w:sz w:val="20"/>
          <w:szCs w:val="20"/>
        </w:rPr>
        <w:t>https://chambers.com/info/onboard-with-chambers</w:t>
      </w:r>
    </w:hyperlink>
    <w:r>
      <w:rPr>
        <w:rFonts w:cs="Times New Roman"/>
        <w:sz w:val="20"/>
        <w:szCs w:val="20"/>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1794" w:rsidRDefault="00171794" w:rsidP="00E854E3">
      <w:r>
        <w:separator/>
      </w:r>
    </w:p>
  </w:footnote>
  <w:footnote w:type="continuationSeparator" w:id="0">
    <w:p w:rsidR="00171794" w:rsidRDefault="00171794" w:rsidP="00E854E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45C4" w:rsidRPr="005765D6" w:rsidRDefault="000345C4" w:rsidP="003D05F2">
    <w:pPr>
      <w:pStyle w:val="Encabezado"/>
      <w:jc w:val="right"/>
      <w:rPr>
        <w:color w:val="595959"/>
        <w:sz w:val="16"/>
        <w:szCs w:val="16"/>
      </w:rPr>
    </w:pPr>
    <w:r w:rsidRPr="005765D6">
      <w:rPr>
        <w:color w:val="595959"/>
        <w:sz w:val="16"/>
        <w:szCs w:val="16"/>
      </w:rPr>
      <w:t>R</w:t>
    </w:r>
    <w:r>
      <w:rPr>
        <w:color w:val="595959"/>
        <w:sz w:val="16"/>
        <w:szCs w:val="16"/>
      </w:rPr>
      <w:t>ef</w:t>
    </w:r>
    <w:r w:rsidRPr="005765D6">
      <w:rPr>
        <w:color w:val="595959"/>
        <w:sz w:val="16"/>
        <w:szCs w:val="16"/>
      </w:rPr>
      <w:t xml:space="preserve">: </w:t>
    </w:r>
    <w:r>
      <w:rPr>
        <w:color w:val="595959"/>
        <w:sz w:val="16"/>
        <w:szCs w:val="16"/>
      </w:rPr>
      <w:t>PAB006</w:t>
    </w:r>
  </w:p>
  <w:p w:rsidR="000345C4" w:rsidRPr="008D45D6" w:rsidRDefault="000345C4" w:rsidP="003D05F2">
    <w:pPr>
      <w:pStyle w:val="Encabezado"/>
      <w:jc w:val="right"/>
      <w:rPr>
        <w:color w:val="595959"/>
      </w:rPr>
    </w:pPr>
  </w:p>
  <w:p w:rsidR="000345C4" w:rsidRDefault="000345C4">
    <w:pPr>
      <w:rPr>
        <w:color w:val="595959"/>
        <w:szCs w:val="21"/>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45C4" w:rsidRPr="005765D6" w:rsidRDefault="000345C4" w:rsidP="003D05F2">
    <w:pPr>
      <w:pStyle w:val="Encabezado"/>
      <w:jc w:val="right"/>
      <w:rPr>
        <w:color w:val="595959"/>
        <w:sz w:val="16"/>
        <w:szCs w:val="16"/>
      </w:rPr>
    </w:pPr>
    <w:r w:rsidRPr="005765D6">
      <w:rPr>
        <w:color w:val="595959"/>
        <w:sz w:val="16"/>
        <w:szCs w:val="16"/>
      </w:rPr>
      <w:t>R</w:t>
    </w:r>
    <w:r>
      <w:rPr>
        <w:color w:val="595959"/>
        <w:sz w:val="16"/>
        <w:szCs w:val="16"/>
      </w:rPr>
      <w:t>ef</w:t>
    </w:r>
    <w:r w:rsidRPr="005765D6">
      <w:rPr>
        <w:color w:val="595959"/>
        <w:sz w:val="16"/>
        <w:szCs w:val="16"/>
      </w:rPr>
      <w:t xml:space="preserve">: </w:t>
    </w:r>
    <w:r>
      <w:rPr>
        <w:color w:val="595959"/>
        <w:sz w:val="16"/>
        <w:szCs w:val="16"/>
      </w:rPr>
      <w:t>PAM006</w:t>
    </w:r>
  </w:p>
  <w:p w:rsidR="000345C4" w:rsidRPr="008D45D6" w:rsidRDefault="000345C4" w:rsidP="003D05F2">
    <w:pPr>
      <w:pStyle w:val="Encabezado"/>
      <w:jc w:val="right"/>
      <w:rPr>
        <w:color w:val="595959"/>
      </w:rPr>
    </w:pPr>
  </w:p>
  <w:p w:rsidR="000345C4" w:rsidRDefault="000345C4">
    <w:pPr>
      <w:rPr>
        <w:color w:val="595959"/>
        <w:szCs w:val="21"/>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45C4" w:rsidRPr="00BF1F79" w:rsidRDefault="000345C4" w:rsidP="003D05F2">
    <w:pPr>
      <w:pStyle w:val="Encabezado"/>
      <w:jc w:val="right"/>
      <w:rPr>
        <w:color w:val="595959"/>
        <w:sz w:val="16"/>
        <w:szCs w:val="16"/>
      </w:rPr>
    </w:pPr>
    <w:r w:rsidRPr="00BF1F79">
      <w:rPr>
        <w:color w:val="595959"/>
        <w:sz w:val="16"/>
        <w:szCs w:val="16"/>
      </w:rPr>
      <w:t xml:space="preserve">Ref: </w:t>
    </w:r>
    <w:r>
      <w:rPr>
        <w:color w:val="595959"/>
        <w:sz w:val="16"/>
        <w:szCs w:val="16"/>
      </w:rPr>
      <w:t>PAM007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49"/>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54E3"/>
    <w:rsid w:val="000345C4"/>
    <w:rsid w:val="000519AC"/>
    <w:rsid w:val="0007421D"/>
    <w:rsid w:val="00083C2C"/>
    <w:rsid w:val="000A20E4"/>
    <w:rsid w:val="0010167C"/>
    <w:rsid w:val="00114674"/>
    <w:rsid w:val="00171794"/>
    <w:rsid w:val="00183167"/>
    <w:rsid w:val="001B4820"/>
    <w:rsid w:val="001B4AA3"/>
    <w:rsid w:val="001B4B35"/>
    <w:rsid w:val="001C22E0"/>
    <w:rsid w:val="001E03EC"/>
    <w:rsid w:val="001F6EB0"/>
    <w:rsid w:val="0022294A"/>
    <w:rsid w:val="002477C4"/>
    <w:rsid w:val="0025102C"/>
    <w:rsid w:val="00260F2E"/>
    <w:rsid w:val="0029029F"/>
    <w:rsid w:val="00290767"/>
    <w:rsid w:val="002E517E"/>
    <w:rsid w:val="003238CA"/>
    <w:rsid w:val="00341CB4"/>
    <w:rsid w:val="00371198"/>
    <w:rsid w:val="00386CEE"/>
    <w:rsid w:val="003D05F2"/>
    <w:rsid w:val="003E5E56"/>
    <w:rsid w:val="003F3D2D"/>
    <w:rsid w:val="00426621"/>
    <w:rsid w:val="00451335"/>
    <w:rsid w:val="0045518B"/>
    <w:rsid w:val="00467D8B"/>
    <w:rsid w:val="00474B55"/>
    <w:rsid w:val="00483E12"/>
    <w:rsid w:val="004856D3"/>
    <w:rsid w:val="004A1C4B"/>
    <w:rsid w:val="004B7C27"/>
    <w:rsid w:val="004D51E3"/>
    <w:rsid w:val="004E4273"/>
    <w:rsid w:val="004E42B9"/>
    <w:rsid w:val="00546F7C"/>
    <w:rsid w:val="00547FC8"/>
    <w:rsid w:val="00550ACF"/>
    <w:rsid w:val="005765D6"/>
    <w:rsid w:val="0057747C"/>
    <w:rsid w:val="005B6C3B"/>
    <w:rsid w:val="005B78D1"/>
    <w:rsid w:val="005C3AF5"/>
    <w:rsid w:val="005E174C"/>
    <w:rsid w:val="005F5416"/>
    <w:rsid w:val="00611979"/>
    <w:rsid w:val="00640AC2"/>
    <w:rsid w:val="00645294"/>
    <w:rsid w:val="00675132"/>
    <w:rsid w:val="0068114B"/>
    <w:rsid w:val="006E50BC"/>
    <w:rsid w:val="0074515B"/>
    <w:rsid w:val="0075559A"/>
    <w:rsid w:val="00755FCB"/>
    <w:rsid w:val="00793A4F"/>
    <w:rsid w:val="00794533"/>
    <w:rsid w:val="007B02C3"/>
    <w:rsid w:val="007B551A"/>
    <w:rsid w:val="007C1B00"/>
    <w:rsid w:val="007C5BA7"/>
    <w:rsid w:val="007D311D"/>
    <w:rsid w:val="007E54D8"/>
    <w:rsid w:val="007E7F40"/>
    <w:rsid w:val="00813FA9"/>
    <w:rsid w:val="00835B10"/>
    <w:rsid w:val="00862408"/>
    <w:rsid w:val="00863112"/>
    <w:rsid w:val="008A1026"/>
    <w:rsid w:val="008A1F10"/>
    <w:rsid w:val="008A6053"/>
    <w:rsid w:val="008B0485"/>
    <w:rsid w:val="008C28F0"/>
    <w:rsid w:val="008C4268"/>
    <w:rsid w:val="008D45D6"/>
    <w:rsid w:val="008E4B38"/>
    <w:rsid w:val="009013C3"/>
    <w:rsid w:val="00906AFE"/>
    <w:rsid w:val="00935C48"/>
    <w:rsid w:val="009375FB"/>
    <w:rsid w:val="009445F9"/>
    <w:rsid w:val="00961133"/>
    <w:rsid w:val="0098041D"/>
    <w:rsid w:val="009812AD"/>
    <w:rsid w:val="00992CAC"/>
    <w:rsid w:val="009A08B2"/>
    <w:rsid w:val="009B2AE2"/>
    <w:rsid w:val="009C59C5"/>
    <w:rsid w:val="009D15BC"/>
    <w:rsid w:val="009F68AA"/>
    <w:rsid w:val="00A022E8"/>
    <w:rsid w:val="00A2186F"/>
    <w:rsid w:val="00A262EB"/>
    <w:rsid w:val="00A34E43"/>
    <w:rsid w:val="00A441C1"/>
    <w:rsid w:val="00A4584B"/>
    <w:rsid w:val="00A600D5"/>
    <w:rsid w:val="00AB2803"/>
    <w:rsid w:val="00B11E3F"/>
    <w:rsid w:val="00B25F86"/>
    <w:rsid w:val="00B80CF8"/>
    <w:rsid w:val="00B87B1F"/>
    <w:rsid w:val="00B9523C"/>
    <w:rsid w:val="00BA3C6F"/>
    <w:rsid w:val="00BD01FE"/>
    <w:rsid w:val="00BE0FED"/>
    <w:rsid w:val="00BE34A4"/>
    <w:rsid w:val="00BF1F79"/>
    <w:rsid w:val="00C005A0"/>
    <w:rsid w:val="00C71110"/>
    <w:rsid w:val="00C8271A"/>
    <w:rsid w:val="00C84C69"/>
    <w:rsid w:val="00C8503A"/>
    <w:rsid w:val="00CC2F74"/>
    <w:rsid w:val="00CC3518"/>
    <w:rsid w:val="00CD390A"/>
    <w:rsid w:val="00CD6545"/>
    <w:rsid w:val="00CF20FC"/>
    <w:rsid w:val="00CF28D0"/>
    <w:rsid w:val="00D11125"/>
    <w:rsid w:val="00D12BB2"/>
    <w:rsid w:val="00D55D56"/>
    <w:rsid w:val="00D6769D"/>
    <w:rsid w:val="00D96C3E"/>
    <w:rsid w:val="00DB5643"/>
    <w:rsid w:val="00DD4ACB"/>
    <w:rsid w:val="00DF071F"/>
    <w:rsid w:val="00E00B68"/>
    <w:rsid w:val="00E26DF6"/>
    <w:rsid w:val="00E42D59"/>
    <w:rsid w:val="00E43BF9"/>
    <w:rsid w:val="00E6234A"/>
    <w:rsid w:val="00E81014"/>
    <w:rsid w:val="00E854E3"/>
    <w:rsid w:val="00E87BA5"/>
    <w:rsid w:val="00EB3943"/>
    <w:rsid w:val="00EE1A85"/>
    <w:rsid w:val="00F25C53"/>
    <w:rsid w:val="00F25C5D"/>
    <w:rsid w:val="00F30E44"/>
    <w:rsid w:val="00F56ED0"/>
    <w:rsid w:val="00F72D96"/>
    <w:rsid w:val="00F86361"/>
    <w:rsid w:val="00F95B51"/>
    <w:rsid w:val="00F962BF"/>
    <w:rsid w:val="00FB29DB"/>
    <w:rsid w:val="00FD6227"/>
    <w:rsid w:val="00FE27B0"/>
    <w:rsid w:val="00FE4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2A1D74AC"/>
  <w15:chartTrackingRefBased/>
  <w15:docId w15:val="{39F83716-33C8-4C2B-A14E-CB9F09C44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pPr>
    <w:rPr>
      <w:rFonts w:eastAsia="SimSun" w:cs="Mangal"/>
      <w:kern w:val="1"/>
      <w:sz w:val="24"/>
      <w:szCs w:val="24"/>
      <w:lang w:val="en-GB" w:eastAsia="zh-CN" w:bidi="hi-I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DefaultParagraphFont1">
    <w:name w:val="Default Paragraph Font1"/>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DefaultParagraphFont">
    <w:name w:val="WW-Default Paragraph Font"/>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styleId="Hipervnculo">
    <w:name w:val="Hyperlink"/>
    <w:rPr>
      <w:color w:val="000080"/>
      <w:u w:val="single"/>
    </w:rPr>
  </w:style>
  <w:style w:type="character" w:styleId="Hipervnculovisitado">
    <w:name w:val="FollowedHyperlink"/>
    <w:rPr>
      <w:color w:val="800000"/>
      <w:u w:val="single"/>
    </w:rPr>
  </w:style>
  <w:style w:type="paragraph" w:customStyle="1" w:styleId="Heading">
    <w:name w:val="Heading"/>
    <w:basedOn w:val="Normal"/>
    <w:next w:val="Textoindependiente"/>
    <w:pPr>
      <w:keepNext/>
      <w:spacing w:before="240" w:after="120"/>
    </w:pPr>
    <w:rPr>
      <w:rFonts w:ascii="Arial" w:eastAsia="Microsoft YaHei" w:hAnsi="Arial"/>
      <w:sz w:val="28"/>
      <w:szCs w:val="28"/>
    </w:rPr>
  </w:style>
  <w:style w:type="paragraph" w:styleId="Textoindependiente">
    <w:name w:val="Body Text"/>
    <w:basedOn w:val="Normal"/>
    <w:pPr>
      <w:spacing w:after="120"/>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Encabezado">
    <w:name w:val="header"/>
    <w:basedOn w:val="Normal"/>
    <w:link w:val="EncabezadoCar"/>
    <w:uiPriority w:val="99"/>
    <w:unhideWhenUsed/>
    <w:rsid w:val="00E854E3"/>
    <w:pPr>
      <w:tabs>
        <w:tab w:val="center" w:pos="4680"/>
        <w:tab w:val="right" w:pos="9360"/>
      </w:tabs>
    </w:pPr>
    <w:rPr>
      <w:szCs w:val="21"/>
    </w:rPr>
  </w:style>
  <w:style w:type="character" w:customStyle="1" w:styleId="EncabezadoCar">
    <w:name w:val="Encabezado Car"/>
    <w:link w:val="Encabezado"/>
    <w:uiPriority w:val="99"/>
    <w:rsid w:val="00E854E3"/>
    <w:rPr>
      <w:rFonts w:eastAsia="SimSun" w:cs="Mangal"/>
      <w:kern w:val="1"/>
      <w:sz w:val="24"/>
      <w:szCs w:val="21"/>
      <w:lang w:eastAsia="zh-CN" w:bidi="hi-IN"/>
    </w:rPr>
  </w:style>
  <w:style w:type="paragraph" w:styleId="Piedepgina">
    <w:name w:val="footer"/>
    <w:basedOn w:val="Normal"/>
    <w:link w:val="PiedepginaCar"/>
    <w:uiPriority w:val="99"/>
    <w:unhideWhenUsed/>
    <w:rsid w:val="00E854E3"/>
    <w:pPr>
      <w:tabs>
        <w:tab w:val="center" w:pos="4680"/>
        <w:tab w:val="right" w:pos="9360"/>
      </w:tabs>
    </w:pPr>
    <w:rPr>
      <w:szCs w:val="21"/>
    </w:rPr>
  </w:style>
  <w:style w:type="character" w:customStyle="1" w:styleId="PiedepginaCar">
    <w:name w:val="Pie de página Car"/>
    <w:link w:val="Piedepgina"/>
    <w:uiPriority w:val="99"/>
    <w:rsid w:val="00E854E3"/>
    <w:rPr>
      <w:rFonts w:eastAsia="SimSun" w:cs="Mangal"/>
      <w:kern w:val="1"/>
      <w:sz w:val="24"/>
      <w:szCs w:val="21"/>
      <w:lang w:eastAsia="zh-CN" w:bidi="hi-IN"/>
    </w:rPr>
  </w:style>
  <w:style w:type="character" w:customStyle="1" w:styleId="UnresolvedMention">
    <w:name w:val="Unresolved Mention"/>
    <w:uiPriority w:val="99"/>
    <w:semiHidden/>
    <w:unhideWhenUsed/>
    <w:rsid w:val="003D05F2"/>
    <w:rPr>
      <w:color w:val="605E5C"/>
      <w:shd w:val="clear" w:color="auto" w:fill="E1DFDD"/>
    </w:rPr>
  </w:style>
  <w:style w:type="paragraph" w:styleId="Sinespaciado">
    <w:name w:val="No Spacing"/>
    <w:uiPriority w:val="1"/>
    <w:qFormat/>
    <w:rsid w:val="005765D6"/>
    <w:pPr>
      <w:widowControl w:val="0"/>
      <w:suppressAutoHyphens/>
    </w:pPr>
    <w:rPr>
      <w:rFonts w:eastAsia="SimSun" w:cs="Mangal"/>
      <w:kern w:val="1"/>
      <w:sz w:val="24"/>
      <w:szCs w:val="21"/>
      <w:lang w:val="en-GB" w:eastAsia="zh-CN" w:bidi="hi-IN"/>
    </w:rPr>
  </w:style>
  <w:style w:type="paragraph" w:customStyle="1" w:styleId="InterTableSpacer">
    <w:name w:val="InterTableSpacer"/>
    <w:basedOn w:val="Textoindependiente"/>
    <w:rsid w:val="00A022E8"/>
    <w:pPr>
      <w:widowControl/>
      <w:snapToGrid w:val="0"/>
      <w:spacing w:line="264" w:lineRule="auto"/>
    </w:pPr>
    <w:rPr>
      <w:rFonts w:ascii="Calibri" w:eastAsia="Times New Roman" w:hAnsi="Calibri" w:cs="Calibri"/>
      <w:kern w:val="0"/>
      <w:sz w:val="18"/>
      <w:szCs w:val="18"/>
      <w:lang w:bidi="ar-SA"/>
    </w:rPr>
  </w:style>
  <w:style w:type="paragraph" w:customStyle="1" w:styleId="xparagraph">
    <w:name w:val="x_paragraph"/>
    <w:basedOn w:val="Normal"/>
    <w:rsid w:val="007B551A"/>
    <w:pPr>
      <w:widowControl/>
      <w:suppressAutoHyphens w:val="0"/>
      <w:spacing w:before="100" w:beforeAutospacing="1" w:after="100" w:afterAutospacing="1"/>
    </w:pPr>
    <w:rPr>
      <w:rFonts w:ascii="Calibri" w:eastAsia="Calibri" w:hAnsi="Calibri" w:cs="Calibri"/>
      <w:kern w:val="0"/>
      <w:sz w:val="22"/>
      <w:szCs w:val="22"/>
      <w:lang w:eastAsia="en-GB" w:bidi="ar-SA"/>
    </w:rPr>
  </w:style>
  <w:style w:type="character" w:customStyle="1" w:styleId="xnormaltextrun">
    <w:name w:val="x_normaltextrun"/>
    <w:rsid w:val="007B551A"/>
  </w:style>
  <w:style w:type="character" w:customStyle="1" w:styleId="xeop">
    <w:name w:val="x_eop"/>
    <w:rsid w:val="007B55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612706">
      <w:bodyDiv w:val="1"/>
      <w:marLeft w:val="0"/>
      <w:marRight w:val="0"/>
      <w:marTop w:val="0"/>
      <w:marBottom w:val="0"/>
      <w:divBdr>
        <w:top w:val="none" w:sz="0" w:space="0" w:color="auto"/>
        <w:left w:val="none" w:sz="0" w:space="0" w:color="auto"/>
        <w:bottom w:val="none" w:sz="0" w:space="0" w:color="auto"/>
        <w:right w:val="none" w:sz="0" w:space="0" w:color="auto"/>
      </w:divBdr>
      <w:divsChild>
        <w:div w:id="128742428">
          <w:marLeft w:val="0"/>
          <w:marRight w:val="0"/>
          <w:marTop w:val="0"/>
          <w:marBottom w:val="0"/>
          <w:divBdr>
            <w:top w:val="none" w:sz="0" w:space="0" w:color="auto"/>
            <w:left w:val="none" w:sz="0" w:space="0" w:color="auto"/>
            <w:bottom w:val="none" w:sz="0" w:space="0" w:color="auto"/>
            <w:right w:val="none" w:sz="0" w:space="0" w:color="auto"/>
          </w:divBdr>
          <w:divsChild>
            <w:div w:id="19059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90139">
      <w:bodyDiv w:val="1"/>
      <w:marLeft w:val="0"/>
      <w:marRight w:val="0"/>
      <w:marTop w:val="0"/>
      <w:marBottom w:val="0"/>
      <w:divBdr>
        <w:top w:val="none" w:sz="0" w:space="0" w:color="auto"/>
        <w:left w:val="none" w:sz="0" w:space="0" w:color="auto"/>
        <w:bottom w:val="none" w:sz="0" w:space="0" w:color="auto"/>
        <w:right w:val="none" w:sz="0" w:space="0" w:color="auto"/>
      </w:divBdr>
      <w:divsChild>
        <w:div w:id="535044008">
          <w:marLeft w:val="0"/>
          <w:marRight w:val="0"/>
          <w:marTop w:val="0"/>
          <w:marBottom w:val="0"/>
          <w:divBdr>
            <w:top w:val="none" w:sz="0" w:space="0" w:color="auto"/>
            <w:left w:val="none" w:sz="0" w:space="0" w:color="auto"/>
            <w:bottom w:val="none" w:sz="0" w:space="0" w:color="auto"/>
            <w:right w:val="none" w:sz="0" w:space="0" w:color="auto"/>
          </w:divBdr>
          <w:divsChild>
            <w:div w:id="39678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60651">
      <w:bodyDiv w:val="1"/>
      <w:marLeft w:val="0"/>
      <w:marRight w:val="0"/>
      <w:marTop w:val="0"/>
      <w:marBottom w:val="0"/>
      <w:divBdr>
        <w:top w:val="none" w:sz="0" w:space="0" w:color="auto"/>
        <w:left w:val="none" w:sz="0" w:space="0" w:color="auto"/>
        <w:bottom w:val="none" w:sz="0" w:space="0" w:color="auto"/>
        <w:right w:val="none" w:sz="0" w:space="0" w:color="auto"/>
      </w:divBdr>
    </w:div>
    <w:div w:id="221798536">
      <w:bodyDiv w:val="1"/>
      <w:marLeft w:val="0"/>
      <w:marRight w:val="0"/>
      <w:marTop w:val="0"/>
      <w:marBottom w:val="0"/>
      <w:divBdr>
        <w:top w:val="none" w:sz="0" w:space="0" w:color="auto"/>
        <w:left w:val="none" w:sz="0" w:space="0" w:color="auto"/>
        <w:bottom w:val="none" w:sz="0" w:space="0" w:color="auto"/>
        <w:right w:val="none" w:sz="0" w:space="0" w:color="auto"/>
      </w:divBdr>
      <w:divsChild>
        <w:div w:id="1054042463">
          <w:marLeft w:val="0"/>
          <w:marRight w:val="0"/>
          <w:marTop w:val="0"/>
          <w:marBottom w:val="0"/>
          <w:divBdr>
            <w:top w:val="none" w:sz="0" w:space="0" w:color="auto"/>
            <w:left w:val="none" w:sz="0" w:space="0" w:color="auto"/>
            <w:bottom w:val="none" w:sz="0" w:space="0" w:color="auto"/>
            <w:right w:val="none" w:sz="0" w:space="0" w:color="auto"/>
          </w:divBdr>
          <w:divsChild>
            <w:div w:id="79602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260475">
      <w:bodyDiv w:val="1"/>
      <w:marLeft w:val="0"/>
      <w:marRight w:val="0"/>
      <w:marTop w:val="0"/>
      <w:marBottom w:val="0"/>
      <w:divBdr>
        <w:top w:val="none" w:sz="0" w:space="0" w:color="auto"/>
        <w:left w:val="none" w:sz="0" w:space="0" w:color="auto"/>
        <w:bottom w:val="none" w:sz="0" w:space="0" w:color="auto"/>
        <w:right w:val="none" w:sz="0" w:space="0" w:color="auto"/>
      </w:divBdr>
      <w:divsChild>
        <w:div w:id="11129427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386021">
              <w:marLeft w:val="0"/>
              <w:marRight w:val="0"/>
              <w:marTop w:val="0"/>
              <w:marBottom w:val="0"/>
              <w:divBdr>
                <w:top w:val="none" w:sz="0" w:space="0" w:color="auto"/>
                <w:left w:val="none" w:sz="0" w:space="0" w:color="auto"/>
                <w:bottom w:val="none" w:sz="0" w:space="0" w:color="auto"/>
                <w:right w:val="none" w:sz="0" w:space="0" w:color="auto"/>
              </w:divBdr>
              <w:divsChild>
                <w:div w:id="1432504625">
                  <w:marLeft w:val="0"/>
                  <w:marRight w:val="0"/>
                  <w:marTop w:val="0"/>
                  <w:marBottom w:val="0"/>
                  <w:divBdr>
                    <w:top w:val="none" w:sz="0" w:space="0" w:color="auto"/>
                    <w:left w:val="none" w:sz="0" w:space="0" w:color="auto"/>
                    <w:bottom w:val="none" w:sz="0" w:space="0" w:color="auto"/>
                    <w:right w:val="none" w:sz="0" w:space="0" w:color="auto"/>
                  </w:divBdr>
                  <w:divsChild>
                    <w:div w:id="14019037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5647028">
                          <w:marLeft w:val="0"/>
                          <w:marRight w:val="0"/>
                          <w:marTop w:val="0"/>
                          <w:marBottom w:val="0"/>
                          <w:divBdr>
                            <w:top w:val="none" w:sz="0" w:space="0" w:color="auto"/>
                            <w:left w:val="none" w:sz="0" w:space="0" w:color="auto"/>
                            <w:bottom w:val="none" w:sz="0" w:space="0" w:color="auto"/>
                            <w:right w:val="none" w:sz="0" w:space="0" w:color="auto"/>
                          </w:divBdr>
                          <w:divsChild>
                            <w:div w:id="2111778166">
                              <w:marLeft w:val="0"/>
                              <w:marRight w:val="0"/>
                              <w:marTop w:val="0"/>
                              <w:marBottom w:val="0"/>
                              <w:divBdr>
                                <w:top w:val="none" w:sz="0" w:space="0" w:color="auto"/>
                                <w:left w:val="none" w:sz="0" w:space="0" w:color="auto"/>
                                <w:bottom w:val="none" w:sz="0" w:space="0" w:color="auto"/>
                                <w:right w:val="none" w:sz="0" w:space="0" w:color="auto"/>
                              </w:divBdr>
                              <w:divsChild>
                                <w:div w:id="62708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9579633">
      <w:bodyDiv w:val="1"/>
      <w:marLeft w:val="0"/>
      <w:marRight w:val="0"/>
      <w:marTop w:val="0"/>
      <w:marBottom w:val="0"/>
      <w:divBdr>
        <w:top w:val="none" w:sz="0" w:space="0" w:color="auto"/>
        <w:left w:val="none" w:sz="0" w:space="0" w:color="auto"/>
        <w:bottom w:val="none" w:sz="0" w:space="0" w:color="auto"/>
        <w:right w:val="none" w:sz="0" w:space="0" w:color="auto"/>
      </w:divBdr>
      <w:divsChild>
        <w:div w:id="2090882091">
          <w:marLeft w:val="0"/>
          <w:marRight w:val="0"/>
          <w:marTop w:val="0"/>
          <w:marBottom w:val="0"/>
          <w:divBdr>
            <w:top w:val="none" w:sz="0" w:space="0" w:color="auto"/>
            <w:left w:val="none" w:sz="0" w:space="0" w:color="auto"/>
            <w:bottom w:val="none" w:sz="0" w:space="0" w:color="auto"/>
            <w:right w:val="none" w:sz="0" w:space="0" w:color="auto"/>
          </w:divBdr>
          <w:divsChild>
            <w:div w:id="131255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226516">
      <w:bodyDiv w:val="1"/>
      <w:marLeft w:val="0"/>
      <w:marRight w:val="0"/>
      <w:marTop w:val="0"/>
      <w:marBottom w:val="0"/>
      <w:divBdr>
        <w:top w:val="none" w:sz="0" w:space="0" w:color="auto"/>
        <w:left w:val="none" w:sz="0" w:space="0" w:color="auto"/>
        <w:bottom w:val="none" w:sz="0" w:space="0" w:color="auto"/>
        <w:right w:val="none" w:sz="0" w:space="0" w:color="auto"/>
      </w:divBdr>
      <w:divsChild>
        <w:div w:id="34814797">
          <w:marLeft w:val="0"/>
          <w:marRight w:val="0"/>
          <w:marTop w:val="0"/>
          <w:marBottom w:val="0"/>
          <w:divBdr>
            <w:top w:val="none" w:sz="0" w:space="0" w:color="auto"/>
            <w:left w:val="none" w:sz="0" w:space="0" w:color="auto"/>
            <w:bottom w:val="none" w:sz="0" w:space="0" w:color="auto"/>
            <w:right w:val="none" w:sz="0" w:space="0" w:color="auto"/>
          </w:divBdr>
          <w:divsChild>
            <w:div w:id="111741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842195">
      <w:bodyDiv w:val="1"/>
      <w:marLeft w:val="0"/>
      <w:marRight w:val="0"/>
      <w:marTop w:val="0"/>
      <w:marBottom w:val="0"/>
      <w:divBdr>
        <w:top w:val="none" w:sz="0" w:space="0" w:color="auto"/>
        <w:left w:val="none" w:sz="0" w:space="0" w:color="auto"/>
        <w:bottom w:val="none" w:sz="0" w:space="0" w:color="auto"/>
        <w:right w:val="none" w:sz="0" w:space="0" w:color="auto"/>
      </w:divBdr>
      <w:divsChild>
        <w:div w:id="360354">
          <w:marLeft w:val="0"/>
          <w:marRight w:val="0"/>
          <w:marTop w:val="0"/>
          <w:marBottom w:val="0"/>
          <w:divBdr>
            <w:top w:val="none" w:sz="0" w:space="0" w:color="auto"/>
            <w:left w:val="none" w:sz="0" w:space="0" w:color="auto"/>
            <w:bottom w:val="none" w:sz="0" w:space="0" w:color="auto"/>
            <w:right w:val="none" w:sz="0" w:space="0" w:color="auto"/>
          </w:divBdr>
          <w:divsChild>
            <w:div w:id="11816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143517">
      <w:bodyDiv w:val="1"/>
      <w:marLeft w:val="0"/>
      <w:marRight w:val="0"/>
      <w:marTop w:val="0"/>
      <w:marBottom w:val="0"/>
      <w:divBdr>
        <w:top w:val="none" w:sz="0" w:space="0" w:color="auto"/>
        <w:left w:val="none" w:sz="0" w:space="0" w:color="auto"/>
        <w:bottom w:val="none" w:sz="0" w:space="0" w:color="auto"/>
        <w:right w:val="none" w:sz="0" w:space="0" w:color="auto"/>
      </w:divBdr>
    </w:div>
    <w:div w:id="479887093">
      <w:bodyDiv w:val="1"/>
      <w:marLeft w:val="0"/>
      <w:marRight w:val="0"/>
      <w:marTop w:val="0"/>
      <w:marBottom w:val="0"/>
      <w:divBdr>
        <w:top w:val="none" w:sz="0" w:space="0" w:color="auto"/>
        <w:left w:val="none" w:sz="0" w:space="0" w:color="auto"/>
        <w:bottom w:val="none" w:sz="0" w:space="0" w:color="auto"/>
        <w:right w:val="none" w:sz="0" w:space="0" w:color="auto"/>
      </w:divBdr>
    </w:div>
    <w:div w:id="486283282">
      <w:bodyDiv w:val="1"/>
      <w:marLeft w:val="0"/>
      <w:marRight w:val="0"/>
      <w:marTop w:val="0"/>
      <w:marBottom w:val="0"/>
      <w:divBdr>
        <w:top w:val="none" w:sz="0" w:space="0" w:color="auto"/>
        <w:left w:val="none" w:sz="0" w:space="0" w:color="auto"/>
        <w:bottom w:val="none" w:sz="0" w:space="0" w:color="auto"/>
        <w:right w:val="none" w:sz="0" w:space="0" w:color="auto"/>
      </w:divBdr>
      <w:divsChild>
        <w:div w:id="1033992842">
          <w:marLeft w:val="0"/>
          <w:marRight w:val="0"/>
          <w:marTop w:val="0"/>
          <w:marBottom w:val="0"/>
          <w:divBdr>
            <w:top w:val="none" w:sz="0" w:space="0" w:color="auto"/>
            <w:left w:val="none" w:sz="0" w:space="0" w:color="auto"/>
            <w:bottom w:val="none" w:sz="0" w:space="0" w:color="auto"/>
            <w:right w:val="none" w:sz="0" w:space="0" w:color="auto"/>
          </w:divBdr>
          <w:divsChild>
            <w:div w:id="91482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990311">
      <w:bodyDiv w:val="1"/>
      <w:marLeft w:val="0"/>
      <w:marRight w:val="0"/>
      <w:marTop w:val="0"/>
      <w:marBottom w:val="0"/>
      <w:divBdr>
        <w:top w:val="none" w:sz="0" w:space="0" w:color="auto"/>
        <w:left w:val="none" w:sz="0" w:space="0" w:color="auto"/>
        <w:bottom w:val="none" w:sz="0" w:space="0" w:color="auto"/>
        <w:right w:val="none" w:sz="0" w:space="0" w:color="auto"/>
      </w:divBdr>
      <w:divsChild>
        <w:div w:id="1195121733">
          <w:marLeft w:val="0"/>
          <w:marRight w:val="0"/>
          <w:marTop w:val="0"/>
          <w:marBottom w:val="0"/>
          <w:divBdr>
            <w:top w:val="none" w:sz="0" w:space="0" w:color="auto"/>
            <w:left w:val="none" w:sz="0" w:space="0" w:color="auto"/>
            <w:bottom w:val="none" w:sz="0" w:space="0" w:color="auto"/>
            <w:right w:val="none" w:sz="0" w:space="0" w:color="auto"/>
          </w:divBdr>
          <w:divsChild>
            <w:div w:id="214342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78308">
      <w:bodyDiv w:val="1"/>
      <w:marLeft w:val="0"/>
      <w:marRight w:val="0"/>
      <w:marTop w:val="0"/>
      <w:marBottom w:val="0"/>
      <w:divBdr>
        <w:top w:val="none" w:sz="0" w:space="0" w:color="auto"/>
        <w:left w:val="none" w:sz="0" w:space="0" w:color="auto"/>
        <w:bottom w:val="none" w:sz="0" w:space="0" w:color="auto"/>
        <w:right w:val="none" w:sz="0" w:space="0" w:color="auto"/>
      </w:divBdr>
      <w:divsChild>
        <w:div w:id="1420102888">
          <w:marLeft w:val="0"/>
          <w:marRight w:val="0"/>
          <w:marTop w:val="0"/>
          <w:marBottom w:val="0"/>
          <w:divBdr>
            <w:top w:val="none" w:sz="0" w:space="0" w:color="auto"/>
            <w:left w:val="none" w:sz="0" w:space="0" w:color="auto"/>
            <w:bottom w:val="none" w:sz="0" w:space="0" w:color="auto"/>
            <w:right w:val="none" w:sz="0" w:space="0" w:color="auto"/>
          </w:divBdr>
          <w:divsChild>
            <w:div w:id="201372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198402">
      <w:bodyDiv w:val="1"/>
      <w:marLeft w:val="0"/>
      <w:marRight w:val="0"/>
      <w:marTop w:val="0"/>
      <w:marBottom w:val="0"/>
      <w:divBdr>
        <w:top w:val="none" w:sz="0" w:space="0" w:color="auto"/>
        <w:left w:val="none" w:sz="0" w:space="0" w:color="auto"/>
        <w:bottom w:val="none" w:sz="0" w:space="0" w:color="auto"/>
        <w:right w:val="none" w:sz="0" w:space="0" w:color="auto"/>
      </w:divBdr>
    </w:div>
    <w:div w:id="702289049">
      <w:bodyDiv w:val="1"/>
      <w:marLeft w:val="0"/>
      <w:marRight w:val="0"/>
      <w:marTop w:val="0"/>
      <w:marBottom w:val="0"/>
      <w:divBdr>
        <w:top w:val="none" w:sz="0" w:space="0" w:color="auto"/>
        <w:left w:val="none" w:sz="0" w:space="0" w:color="auto"/>
        <w:bottom w:val="none" w:sz="0" w:space="0" w:color="auto"/>
        <w:right w:val="none" w:sz="0" w:space="0" w:color="auto"/>
      </w:divBdr>
    </w:div>
    <w:div w:id="709653020">
      <w:bodyDiv w:val="1"/>
      <w:marLeft w:val="0"/>
      <w:marRight w:val="0"/>
      <w:marTop w:val="0"/>
      <w:marBottom w:val="0"/>
      <w:divBdr>
        <w:top w:val="none" w:sz="0" w:space="0" w:color="auto"/>
        <w:left w:val="none" w:sz="0" w:space="0" w:color="auto"/>
        <w:bottom w:val="none" w:sz="0" w:space="0" w:color="auto"/>
        <w:right w:val="none" w:sz="0" w:space="0" w:color="auto"/>
      </w:divBdr>
      <w:divsChild>
        <w:div w:id="1809396187">
          <w:marLeft w:val="0"/>
          <w:marRight w:val="0"/>
          <w:marTop w:val="0"/>
          <w:marBottom w:val="0"/>
          <w:divBdr>
            <w:top w:val="none" w:sz="0" w:space="0" w:color="auto"/>
            <w:left w:val="none" w:sz="0" w:space="0" w:color="auto"/>
            <w:bottom w:val="none" w:sz="0" w:space="0" w:color="auto"/>
            <w:right w:val="none" w:sz="0" w:space="0" w:color="auto"/>
          </w:divBdr>
          <w:divsChild>
            <w:div w:id="168613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430003">
      <w:bodyDiv w:val="1"/>
      <w:marLeft w:val="0"/>
      <w:marRight w:val="0"/>
      <w:marTop w:val="0"/>
      <w:marBottom w:val="0"/>
      <w:divBdr>
        <w:top w:val="none" w:sz="0" w:space="0" w:color="auto"/>
        <w:left w:val="none" w:sz="0" w:space="0" w:color="auto"/>
        <w:bottom w:val="none" w:sz="0" w:space="0" w:color="auto"/>
        <w:right w:val="none" w:sz="0" w:space="0" w:color="auto"/>
      </w:divBdr>
      <w:divsChild>
        <w:div w:id="1059399501">
          <w:marLeft w:val="0"/>
          <w:marRight w:val="0"/>
          <w:marTop w:val="0"/>
          <w:marBottom w:val="0"/>
          <w:divBdr>
            <w:top w:val="none" w:sz="0" w:space="0" w:color="auto"/>
            <w:left w:val="none" w:sz="0" w:space="0" w:color="auto"/>
            <w:bottom w:val="none" w:sz="0" w:space="0" w:color="auto"/>
            <w:right w:val="none" w:sz="0" w:space="0" w:color="auto"/>
          </w:divBdr>
          <w:divsChild>
            <w:div w:id="202508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60446">
      <w:bodyDiv w:val="1"/>
      <w:marLeft w:val="0"/>
      <w:marRight w:val="0"/>
      <w:marTop w:val="0"/>
      <w:marBottom w:val="0"/>
      <w:divBdr>
        <w:top w:val="none" w:sz="0" w:space="0" w:color="auto"/>
        <w:left w:val="none" w:sz="0" w:space="0" w:color="auto"/>
        <w:bottom w:val="none" w:sz="0" w:space="0" w:color="auto"/>
        <w:right w:val="none" w:sz="0" w:space="0" w:color="auto"/>
      </w:divBdr>
    </w:div>
    <w:div w:id="1124663761">
      <w:bodyDiv w:val="1"/>
      <w:marLeft w:val="0"/>
      <w:marRight w:val="0"/>
      <w:marTop w:val="0"/>
      <w:marBottom w:val="0"/>
      <w:divBdr>
        <w:top w:val="none" w:sz="0" w:space="0" w:color="auto"/>
        <w:left w:val="none" w:sz="0" w:space="0" w:color="auto"/>
        <w:bottom w:val="none" w:sz="0" w:space="0" w:color="auto"/>
        <w:right w:val="none" w:sz="0" w:space="0" w:color="auto"/>
      </w:divBdr>
      <w:divsChild>
        <w:div w:id="1849754716">
          <w:marLeft w:val="0"/>
          <w:marRight w:val="0"/>
          <w:marTop w:val="0"/>
          <w:marBottom w:val="0"/>
          <w:divBdr>
            <w:top w:val="none" w:sz="0" w:space="0" w:color="auto"/>
            <w:left w:val="none" w:sz="0" w:space="0" w:color="auto"/>
            <w:bottom w:val="none" w:sz="0" w:space="0" w:color="auto"/>
            <w:right w:val="none" w:sz="0" w:space="0" w:color="auto"/>
          </w:divBdr>
          <w:divsChild>
            <w:div w:id="148354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957177">
      <w:bodyDiv w:val="1"/>
      <w:marLeft w:val="0"/>
      <w:marRight w:val="0"/>
      <w:marTop w:val="0"/>
      <w:marBottom w:val="0"/>
      <w:divBdr>
        <w:top w:val="none" w:sz="0" w:space="0" w:color="auto"/>
        <w:left w:val="none" w:sz="0" w:space="0" w:color="auto"/>
        <w:bottom w:val="none" w:sz="0" w:space="0" w:color="auto"/>
        <w:right w:val="none" w:sz="0" w:space="0" w:color="auto"/>
      </w:divBdr>
      <w:divsChild>
        <w:div w:id="841555571">
          <w:marLeft w:val="0"/>
          <w:marRight w:val="0"/>
          <w:marTop w:val="0"/>
          <w:marBottom w:val="0"/>
          <w:divBdr>
            <w:top w:val="none" w:sz="0" w:space="0" w:color="auto"/>
            <w:left w:val="none" w:sz="0" w:space="0" w:color="auto"/>
            <w:bottom w:val="none" w:sz="0" w:space="0" w:color="auto"/>
            <w:right w:val="none" w:sz="0" w:space="0" w:color="auto"/>
          </w:divBdr>
          <w:divsChild>
            <w:div w:id="47403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252013">
      <w:bodyDiv w:val="1"/>
      <w:marLeft w:val="0"/>
      <w:marRight w:val="0"/>
      <w:marTop w:val="0"/>
      <w:marBottom w:val="0"/>
      <w:divBdr>
        <w:top w:val="none" w:sz="0" w:space="0" w:color="auto"/>
        <w:left w:val="none" w:sz="0" w:space="0" w:color="auto"/>
        <w:bottom w:val="none" w:sz="0" w:space="0" w:color="auto"/>
        <w:right w:val="none" w:sz="0" w:space="0" w:color="auto"/>
      </w:divBdr>
      <w:divsChild>
        <w:div w:id="1802921212">
          <w:marLeft w:val="0"/>
          <w:marRight w:val="0"/>
          <w:marTop w:val="0"/>
          <w:marBottom w:val="0"/>
          <w:divBdr>
            <w:top w:val="none" w:sz="0" w:space="0" w:color="auto"/>
            <w:left w:val="none" w:sz="0" w:space="0" w:color="auto"/>
            <w:bottom w:val="none" w:sz="0" w:space="0" w:color="auto"/>
            <w:right w:val="none" w:sz="0" w:space="0" w:color="auto"/>
          </w:divBdr>
          <w:divsChild>
            <w:div w:id="88730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683682">
      <w:bodyDiv w:val="1"/>
      <w:marLeft w:val="0"/>
      <w:marRight w:val="0"/>
      <w:marTop w:val="0"/>
      <w:marBottom w:val="0"/>
      <w:divBdr>
        <w:top w:val="none" w:sz="0" w:space="0" w:color="auto"/>
        <w:left w:val="none" w:sz="0" w:space="0" w:color="auto"/>
        <w:bottom w:val="none" w:sz="0" w:space="0" w:color="auto"/>
        <w:right w:val="none" w:sz="0" w:space="0" w:color="auto"/>
      </w:divBdr>
      <w:divsChild>
        <w:div w:id="1831797045">
          <w:marLeft w:val="0"/>
          <w:marRight w:val="0"/>
          <w:marTop w:val="0"/>
          <w:marBottom w:val="0"/>
          <w:divBdr>
            <w:top w:val="none" w:sz="0" w:space="0" w:color="auto"/>
            <w:left w:val="none" w:sz="0" w:space="0" w:color="auto"/>
            <w:bottom w:val="none" w:sz="0" w:space="0" w:color="auto"/>
            <w:right w:val="none" w:sz="0" w:space="0" w:color="auto"/>
          </w:divBdr>
          <w:divsChild>
            <w:div w:id="91069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1618">
      <w:bodyDiv w:val="1"/>
      <w:marLeft w:val="0"/>
      <w:marRight w:val="0"/>
      <w:marTop w:val="0"/>
      <w:marBottom w:val="0"/>
      <w:divBdr>
        <w:top w:val="none" w:sz="0" w:space="0" w:color="auto"/>
        <w:left w:val="none" w:sz="0" w:space="0" w:color="auto"/>
        <w:bottom w:val="none" w:sz="0" w:space="0" w:color="auto"/>
        <w:right w:val="none" w:sz="0" w:space="0" w:color="auto"/>
      </w:divBdr>
      <w:divsChild>
        <w:div w:id="866917701">
          <w:marLeft w:val="0"/>
          <w:marRight w:val="0"/>
          <w:marTop w:val="0"/>
          <w:marBottom w:val="0"/>
          <w:divBdr>
            <w:top w:val="none" w:sz="0" w:space="0" w:color="auto"/>
            <w:left w:val="none" w:sz="0" w:space="0" w:color="auto"/>
            <w:bottom w:val="none" w:sz="0" w:space="0" w:color="auto"/>
            <w:right w:val="none" w:sz="0" w:space="0" w:color="auto"/>
          </w:divBdr>
          <w:divsChild>
            <w:div w:id="19453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736775">
      <w:bodyDiv w:val="1"/>
      <w:marLeft w:val="0"/>
      <w:marRight w:val="0"/>
      <w:marTop w:val="0"/>
      <w:marBottom w:val="0"/>
      <w:divBdr>
        <w:top w:val="none" w:sz="0" w:space="0" w:color="auto"/>
        <w:left w:val="none" w:sz="0" w:space="0" w:color="auto"/>
        <w:bottom w:val="none" w:sz="0" w:space="0" w:color="auto"/>
        <w:right w:val="none" w:sz="0" w:space="0" w:color="auto"/>
      </w:divBdr>
    </w:div>
    <w:div w:id="1639796610">
      <w:bodyDiv w:val="1"/>
      <w:marLeft w:val="0"/>
      <w:marRight w:val="0"/>
      <w:marTop w:val="0"/>
      <w:marBottom w:val="0"/>
      <w:divBdr>
        <w:top w:val="none" w:sz="0" w:space="0" w:color="auto"/>
        <w:left w:val="none" w:sz="0" w:space="0" w:color="auto"/>
        <w:bottom w:val="none" w:sz="0" w:space="0" w:color="auto"/>
        <w:right w:val="none" w:sz="0" w:space="0" w:color="auto"/>
      </w:divBdr>
      <w:divsChild>
        <w:div w:id="258146994">
          <w:marLeft w:val="0"/>
          <w:marRight w:val="0"/>
          <w:marTop w:val="0"/>
          <w:marBottom w:val="0"/>
          <w:divBdr>
            <w:top w:val="none" w:sz="0" w:space="0" w:color="auto"/>
            <w:left w:val="none" w:sz="0" w:space="0" w:color="auto"/>
            <w:bottom w:val="none" w:sz="0" w:space="0" w:color="auto"/>
            <w:right w:val="none" w:sz="0" w:space="0" w:color="auto"/>
          </w:divBdr>
          <w:divsChild>
            <w:div w:id="153900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346297">
      <w:bodyDiv w:val="1"/>
      <w:marLeft w:val="0"/>
      <w:marRight w:val="0"/>
      <w:marTop w:val="0"/>
      <w:marBottom w:val="0"/>
      <w:divBdr>
        <w:top w:val="none" w:sz="0" w:space="0" w:color="auto"/>
        <w:left w:val="none" w:sz="0" w:space="0" w:color="auto"/>
        <w:bottom w:val="none" w:sz="0" w:space="0" w:color="auto"/>
        <w:right w:val="none" w:sz="0" w:space="0" w:color="auto"/>
      </w:divBdr>
      <w:divsChild>
        <w:div w:id="1441611646">
          <w:marLeft w:val="0"/>
          <w:marRight w:val="0"/>
          <w:marTop w:val="0"/>
          <w:marBottom w:val="0"/>
          <w:divBdr>
            <w:top w:val="none" w:sz="0" w:space="0" w:color="auto"/>
            <w:left w:val="none" w:sz="0" w:space="0" w:color="auto"/>
            <w:bottom w:val="none" w:sz="0" w:space="0" w:color="auto"/>
            <w:right w:val="none" w:sz="0" w:space="0" w:color="auto"/>
          </w:divBdr>
          <w:divsChild>
            <w:div w:id="22931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471908">
      <w:bodyDiv w:val="1"/>
      <w:marLeft w:val="0"/>
      <w:marRight w:val="0"/>
      <w:marTop w:val="0"/>
      <w:marBottom w:val="0"/>
      <w:divBdr>
        <w:top w:val="none" w:sz="0" w:space="0" w:color="auto"/>
        <w:left w:val="none" w:sz="0" w:space="0" w:color="auto"/>
        <w:bottom w:val="none" w:sz="0" w:space="0" w:color="auto"/>
        <w:right w:val="none" w:sz="0" w:space="0" w:color="auto"/>
      </w:divBdr>
      <w:divsChild>
        <w:div w:id="906837032">
          <w:marLeft w:val="0"/>
          <w:marRight w:val="0"/>
          <w:marTop w:val="0"/>
          <w:marBottom w:val="0"/>
          <w:divBdr>
            <w:top w:val="none" w:sz="0" w:space="0" w:color="auto"/>
            <w:left w:val="none" w:sz="0" w:space="0" w:color="auto"/>
            <w:bottom w:val="none" w:sz="0" w:space="0" w:color="auto"/>
            <w:right w:val="none" w:sz="0" w:space="0" w:color="auto"/>
          </w:divBdr>
          <w:divsChild>
            <w:div w:id="143454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macintosh"/>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chambers.com/info/chambers-leave-policy"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chambers.com/info/onboard-with-chambers"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yaccount.chambers.com"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https://chambers.com/info/onboard-with-chambers" TargetMode="External"/><Relationship Id="rId1" Type="http://schemas.openxmlformats.org/officeDocument/2006/relationships/hyperlink" Target="https://myaccount.chambers.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0A3F699CAC20245A5135D9D45A03EF5" ma:contentTypeVersion="12" ma:contentTypeDescription="Create a new document." ma:contentTypeScope="" ma:versionID="0195056a2cd20f7c2e413a66b9b04655">
  <xsd:schema xmlns:xsd="http://www.w3.org/2001/XMLSchema" xmlns:xs="http://www.w3.org/2001/XMLSchema" xmlns:p="http://schemas.microsoft.com/office/2006/metadata/properties" xmlns:ns2="e0558349-9206-4eef-a884-42c4790c774a" xmlns:ns3="2ba46c64-8df1-4d4c-aac9-81665ca216a1" targetNamespace="http://schemas.microsoft.com/office/2006/metadata/properties" ma:root="true" ma:fieldsID="1819882a62daf12d1dfe2dfd94e71209" ns2:_="" ns3:_="">
    <xsd:import namespace="e0558349-9206-4eef-a884-42c4790c774a"/>
    <xsd:import namespace="2ba46c64-8df1-4d4c-aac9-81665ca216a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558349-9206-4eef-a884-42c4790c77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ba46c64-8df1-4d4c-aac9-81665ca216a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10126D-3C65-403A-8123-F81987A3EED1}">
  <ds:schemaRefs>
    <ds:schemaRef ds:uri="http://schemas.microsoft.com/sharepoint/v3/contenttype/forms"/>
  </ds:schemaRefs>
</ds:datastoreItem>
</file>

<file path=customXml/itemProps2.xml><?xml version="1.0" encoding="utf-8"?>
<ds:datastoreItem xmlns:ds="http://schemas.openxmlformats.org/officeDocument/2006/customXml" ds:itemID="{91CE9077-16D7-4A72-891E-96174505B57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A5F6249-CECB-4F5A-A4C1-A1629BD104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558349-9206-4eef-a884-42c4790c774a"/>
    <ds:schemaRef ds:uri="2ba46c64-8df1-4d4c-aac9-81665ca216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287418A-1E36-4E3B-AEAA-DC391D22A2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14</Pages>
  <Words>1557</Words>
  <Characters>8876</Characters>
  <Application>Microsoft Office Word</Application>
  <DocSecurity>0</DocSecurity>
  <Lines>73</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10413</CharactersWithSpaces>
  <SharedDoc>false</SharedDoc>
  <HLinks>
    <vt:vector size="30" baseType="variant">
      <vt:variant>
        <vt:i4>2621498</vt:i4>
      </vt:variant>
      <vt:variant>
        <vt:i4>6</vt:i4>
      </vt:variant>
      <vt:variant>
        <vt:i4>0</vt:i4>
      </vt:variant>
      <vt:variant>
        <vt:i4>5</vt:i4>
      </vt:variant>
      <vt:variant>
        <vt:lpwstr>https://chambers.com/info/chambers-leave-policy</vt:lpwstr>
      </vt:variant>
      <vt:variant>
        <vt:lpwstr/>
      </vt:variant>
      <vt:variant>
        <vt:i4>6357115</vt:i4>
      </vt:variant>
      <vt:variant>
        <vt:i4>3</vt:i4>
      </vt:variant>
      <vt:variant>
        <vt:i4>0</vt:i4>
      </vt:variant>
      <vt:variant>
        <vt:i4>5</vt:i4>
      </vt:variant>
      <vt:variant>
        <vt:lpwstr>https://chambers.com/info/onboard-with-chambers</vt:lpwstr>
      </vt:variant>
      <vt:variant>
        <vt:lpwstr/>
      </vt:variant>
      <vt:variant>
        <vt:i4>3735677</vt:i4>
      </vt:variant>
      <vt:variant>
        <vt:i4>0</vt:i4>
      </vt:variant>
      <vt:variant>
        <vt:i4>0</vt:i4>
      </vt:variant>
      <vt:variant>
        <vt:i4>5</vt:i4>
      </vt:variant>
      <vt:variant>
        <vt:lpwstr>https://myaccount.chambers.com/</vt:lpwstr>
      </vt:variant>
      <vt:variant>
        <vt:lpwstr/>
      </vt:variant>
      <vt:variant>
        <vt:i4>6357115</vt:i4>
      </vt:variant>
      <vt:variant>
        <vt:i4>3</vt:i4>
      </vt:variant>
      <vt:variant>
        <vt:i4>0</vt:i4>
      </vt:variant>
      <vt:variant>
        <vt:i4>5</vt:i4>
      </vt:variant>
      <vt:variant>
        <vt:lpwstr>https://chambers.com/info/onboard-with-chambers</vt:lpwstr>
      </vt:variant>
      <vt:variant>
        <vt:lpwstr/>
      </vt:variant>
      <vt:variant>
        <vt:i4>3735677</vt:i4>
      </vt:variant>
      <vt:variant>
        <vt:i4>0</vt:i4>
      </vt:variant>
      <vt:variant>
        <vt:i4>0</vt:i4>
      </vt:variant>
      <vt:variant>
        <vt:i4>5</vt:i4>
      </vt:variant>
      <vt:variant>
        <vt:lpwstr>https://myaccount.chambers.com/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Howe</dc:creator>
  <cp:keywords/>
  <dc:description/>
  <cp:lastModifiedBy>usuario</cp:lastModifiedBy>
  <cp:revision>25</cp:revision>
  <cp:lastPrinted>2013-10-15T14:42:00Z</cp:lastPrinted>
  <dcterms:created xsi:type="dcterms:W3CDTF">2026-04-16T16:53:00Z</dcterms:created>
  <dcterms:modified xsi:type="dcterms:W3CDTF">2026-05-08T18:13:00Z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0x010100B0FF52164F42824D98ADF1A1AD12F094</vt:lpwstr>
  </property>
</Properties>
</file>