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UAS Kunci Jawaban dan Rubrik Penilaian</w:t>
      </w:r>
    </w:p>
    <w:p>
      <w:pPr>
        <w:pStyle w:val="Date"/>
      </w:pPr>
      <w:r>
        <w:t xml:space="preserve">2026-02-12</w:t>
      </w:r>
    </w:p>
    <w:bookmarkStart w:id="76" w:name="uas-kunci-jawaban-dan-rubrik-penilaian"/>
    <w:p>
      <w:pPr>
        <w:pStyle w:val="Heading1"/>
      </w:pPr>
      <w:r>
        <w:t xml:space="preserve">UAS KUNCI JAWABAN DAN RUBRIK PENILAIAN</w:t>
      </w:r>
    </w:p>
    <w:p>
      <w:pPr>
        <w:pStyle w:val="FirstParagraph"/>
      </w:pPr>
      <w:r>
        <w:rPr>
          <w:b/>
          <w:bCs/>
        </w:rPr>
        <w:t xml:space="preserve">Mata Kuliah: Hukum Perubahan Iklim</w:t>
      </w:r>
      <w:r>
        <w:t xml:space="preserve"> </w:t>
      </w:r>
      <w:r>
        <w:rPr>
          <w:b/>
          <w:bCs/>
        </w:rPr>
        <w:t xml:space="preserve">Dokumen untuk Dosen</w:t>
      </w:r>
    </w:p>
    <w:p>
      <w:r>
        <w:pict>
          <v:rect style="width:0;height:1.5pt" o:hralign="center" o:hrstd="t" o:hr="t"/>
        </w:pict>
      </w:r>
    </w:p>
    <w:bookmarkStart w:id="9" w:name="Xdb49388d52dacd39b4d0ce1c502ee1afe470e03"/>
    <w:p>
      <w:pPr>
        <w:pStyle w:val="Heading2"/>
      </w:pPr>
      <w:r>
        <w:t xml:space="preserve">BAGIAN A: MATERI REFERENSI — KASUS LITIGASI IKLIM NYATA</w:t>
      </w:r>
    </w:p>
    <w:p>
      <w:pPr>
        <w:pStyle w:val="FirstParagraph"/>
      </w:pPr>
      <w:r>
        <w:rPr>
          <w:b/>
          <w:bCs/>
        </w:rPr>
        <w:t xml:space="preserve">Catatan:</w:t>
      </w:r>
      <w:r>
        <w:t xml:space="preserve"> </w:t>
      </w:r>
      <w:r>
        <w:t xml:space="preserve">Bagian ini berisi ringkasan preseden kasus yang TIDAK diberikan kepada mahasiswa. Ini adalah materi referensi untuk dosen dalam menilai jawaban mahasiswa. Mahasiswa diharapkan menjawab berdasarkan pengetahuan yang telah dipelajari dalam 16 BAB mata kuliah.</w:t>
      </w:r>
    </w:p>
    <w:p>
      <w:r>
        <w:pict>
          <v:rect style="width:0;height:1.5pt" o:hralign="center" o:hrstd="t" o:hr="t"/>
        </w:pict>
      </w:r>
    </w:p>
    <w:bookmarkEnd w:id="9"/>
    <w:bookmarkStart w:id="40" w:name="X7ae0fdf84944feb1ba5ae4cbc3bf7edd21b3b36"/>
    <w:p>
      <w:pPr>
        <w:pStyle w:val="Heading2"/>
      </w:pPr>
      <w:r>
        <w:t xml:space="preserve">BAGIAN A: MATERI REFERENSI — KASUS LITIGASI IKLIM NYATA</w:t>
      </w:r>
    </w:p>
    <w:p>
      <w:pPr>
        <w:pStyle w:val="FirstParagraph"/>
      </w:pPr>
      <w:r>
        <w:t xml:space="preserve">Bagian ini menyajikan ringkasan kasus-kasus litigasi iklim nyata, baik dari Indonesia maupun internasional, yang menjadi rujukan untuk memahami dan menjawab studi kasus fiktif pada Bagian B. Mahasiswa diharapkan menggunakan preseden-preseden ini sebagai dasar argumentasi hukum dalam menjawab pertanyaan ujian.</w:t>
      </w:r>
    </w:p>
    <w:p>
      <w:r>
        <w:pict>
          <v:rect style="width:0;height:1.5pt" o:hralign="center" o:hrstd="t" o:hr="t"/>
        </w:pict>
      </w:r>
    </w:p>
    <w:bookmarkStart w:id="22" w:name="preseden-indonesia"/>
    <w:p>
      <w:pPr>
        <w:pStyle w:val="Heading3"/>
      </w:pPr>
      <w:r>
        <w:t xml:space="preserve">1. PRESEDEN INDONESIA</w:t>
      </w:r>
    </w:p>
    <w:bookmarkStart w:id="13" w:name="X7e1367bc7013cedb57216733807031a38a618d3"/>
    <w:p>
      <w:pPr>
        <w:pStyle w:val="Heading4"/>
      </w:pPr>
      <w:r>
        <w:t xml:space="preserve">1.1 Gugatan Pencemaran Udara Jakarta (2019-2023)</w:t>
      </w:r>
    </w:p>
    <w:p>
      <w:pPr>
        <w:pStyle w:val="FirstParagraph"/>
      </w:pPr>
      <w:r>
        <w:rPr>
          <w:b/>
          <w:bCs/>
        </w:rPr>
        <w:t xml:space="preserve">Nomor Perkara:</w:t>
      </w:r>
      <w:r>
        <w:t xml:space="preserve"> </w:t>
      </w:r>
      <w:r>
        <w:t xml:space="preserve">- Pengadilan Negeri Jakarta Pusat: 374/Pdt.G/LH/2019/PN.Jkt.Pst</w:t>
      </w:r>
      <w:r>
        <w:t xml:space="preserve"> </w:t>
      </w:r>
      <w:r>
        <w:t xml:space="preserve">- Pengadilan Tinggi DKI Jakarta: 549/PDT.G-LH/2022/PT DKI</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32 warga negara Indonesia (termasuk aktivis lingkungan dan korban langsung pencemaran udara)</w:t>
      </w:r>
      <w:r>
        <w:t xml:space="preserve"> </w:t>
      </w:r>
      <w:r>
        <w:t xml:space="preserve">-</w:t>
      </w:r>
      <w:r>
        <w:t xml:space="preserve"> </w:t>
      </w:r>
      <w:r>
        <w:rPr>
          <w:b/>
          <w:bCs/>
        </w:rPr>
        <w:t xml:space="preserve">Tergugat:</w:t>
      </w:r>
      <w:r>
        <w:t xml:space="preserve"> </w:t>
      </w:r>
      <w:r>
        <w:t xml:space="preserve">1. Presiden Republik Indonesia</w:t>
      </w:r>
      <w:r>
        <w:t xml:space="preserve"> </w:t>
      </w:r>
      <w:r>
        <w:t xml:space="preserve">2. Menteri Lingkungan Hidup dan Kehutanan</w:t>
      </w:r>
      <w:r>
        <w:t xml:space="preserve"> </w:t>
      </w:r>
      <w:r>
        <w:t xml:space="preserve">3. Menteri Dalam Negeri</w:t>
      </w:r>
      <w:r>
        <w:t xml:space="preserve"> </w:t>
      </w:r>
      <w:r>
        <w:t xml:space="preserve">4. Menteri Kesehatan</w:t>
      </w:r>
      <w:r>
        <w:t xml:space="preserve"> </w:t>
      </w:r>
      <w:r>
        <w:t xml:space="preserve">5. Gubernur DKI Jakarta</w:t>
      </w:r>
      <w:r>
        <w:t xml:space="preserve"> </w:t>
      </w:r>
      <w:r>
        <w:t xml:space="preserve">6. Gubernur Jawa Barat</w:t>
      </w:r>
      <w:r>
        <w:t xml:space="preserve"> </w:t>
      </w:r>
      <w:r>
        <w:t xml:space="preserve">7. Gubernur Banten</w:t>
      </w:r>
    </w:p>
    <w:p>
      <w:pPr>
        <w:pStyle w:val="BodyText"/>
      </w:pPr>
      <w:r>
        <w:rPr>
          <w:b/>
          <w:bCs/>
        </w:rPr>
        <w:t xml:space="preserve">Latar Belakang:</w:t>
      </w:r>
      <w:r>
        <w:t xml:space="preserve"> </w:t>
      </w:r>
      <w:r>
        <w:t xml:space="preserve">Gugatan diajukan pada Juli 2019 setelah Jakarta tercatat sebagai kota dengan kualitas udara terburuk di dunia pada beberapa kesempatan. Para penggugat mengalami dampak kesehatan langsung seperti infeksi saluran pernapasan atas (ISPA), asma, dan penyakit kardiovaskular akibat pencemaran udara yang berkepanjangan.</w:t>
      </w:r>
    </w:p>
    <w:p>
      <w:pPr>
        <w:pStyle w:val="BodyText"/>
      </w:pPr>
      <w:r>
        <w:rPr>
          <w:b/>
          <w:bCs/>
        </w:rPr>
        <w:t xml:space="preserve">Dasar Hukum:</w:t>
      </w:r>
      <w:r>
        <w:t xml:space="preserve"> </w:t>
      </w:r>
      <w:r>
        <w:t xml:space="preserve">1.</w:t>
      </w:r>
      <w:r>
        <w:t xml:space="preserve"> </w:t>
      </w:r>
      <w:r>
        <w:rPr>
          <w:b/>
          <w:bCs/>
        </w:rPr>
        <w:t xml:space="preserve">Konstitusional:</w:t>
      </w:r>
      <w:r>
        <w:t xml:space="preserve"> </w:t>
      </w:r>
      <w:r>
        <w:t xml:space="preserve">UUD 1945 Pasal 28H ayat (1) tentang hak atas lingkungan hidup yang baik dan sehat, dan Pasal 28I ayat (4) tentang perlindungan, pemajuan, penegakan, dan pemenuhan hak asasi manusia</w:t>
      </w:r>
      <w:r>
        <w:t xml:space="preserve"> </w:t>
      </w:r>
      <w:r>
        <w:t xml:space="preserve">2.</w:t>
      </w:r>
      <w:r>
        <w:t xml:space="preserve"> </w:t>
      </w:r>
      <w:r>
        <w:rPr>
          <w:b/>
          <w:bCs/>
        </w:rPr>
        <w:t xml:space="preserve">Undang-Undang:</w:t>
      </w:r>
      <w:r>
        <w:t xml:space="preserve"> </w:t>
      </w:r>
      <w:r>
        <w:t xml:space="preserve">- UU No. 32 Tahun 2009 tentang Perlindungan dan Pengelolaan Lingkungan Hidup (PPLH), khususnya Pasal 91 tentang gugatan warga negara (citizen lawsuit)</w:t>
      </w:r>
      <w:r>
        <w:t xml:space="preserve"> </w:t>
      </w:r>
      <w:r>
        <w:t xml:space="preserve">- UU No. 36 Tahun 2009 tentang Kesehatan</w:t>
      </w:r>
      <w:r>
        <w:t xml:space="preserve"> </w:t>
      </w:r>
      <w:r>
        <w:t xml:space="preserve">3.</w:t>
      </w:r>
      <w:r>
        <w:t xml:space="preserve"> </w:t>
      </w:r>
      <w:r>
        <w:rPr>
          <w:b/>
          <w:bCs/>
        </w:rPr>
        <w:t xml:space="preserve">Perbuatan Melawan Hukum (PMH):</w:t>
      </w:r>
      <w:r>
        <w:t xml:space="preserve"> </w:t>
      </w:r>
      <w:r>
        <w:t xml:space="preserve">Pasal 1365 KUH Perdata</w:t>
      </w:r>
    </w:p>
    <w:p>
      <w:pPr>
        <w:pStyle w:val="BodyText"/>
      </w:pPr>
      <w:r>
        <w:rPr>
          <w:b/>
          <w:bCs/>
        </w:rPr>
        <w:t xml:space="preserve">Petitum (Tuntutan):</w:t>
      </w:r>
      <w:r>
        <w:t xml:space="preserve"> </w:t>
      </w:r>
      <w:r>
        <w:t xml:space="preserve">1. Menyatakan para tergugat melakukan perbuatan melawan hukum karena lalai dalam menjalankan kewajiban perlindungan kualitas udara</w:t>
      </w:r>
      <w:r>
        <w:t xml:space="preserve"> </w:t>
      </w:r>
      <w:r>
        <w:t xml:space="preserve">2. Memerintahkan tergugat untuk melaksanakan kewajiban pengendalian pencemaran udara sesuai peraturan perundang-undangan</w:t>
      </w:r>
      <w:r>
        <w:t xml:space="preserve"> </w:t>
      </w:r>
      <w:r>
        <w:t xml:space="preserve">3. Menetapkan jangka waktu perbaikan kualitas udara</w:t>
      </w:r>
    </w:p>
    <w:p>
      <w:pPr>
        <w:pStyle w:val="BodyText"/>
      </w:pPr>
      <w:r>
        <w:rPr>
          <w:b/>
          <w:bCs/>
        </w:rPr>
        <w:t xml:space="preserve">Putusan Pengadilan Negeri (16 September 2021):</w:t>
      </w:r>
      <w:r>
        <w:t xml:space="preserve"> </w:t>
      </w:r>
      <w:r>
        <w:t xml:space="preserve">Pengadilan mengabulkan sebagian besar gugatan, dengan pertimbangan:</w:t>
      </w:r>
      <w:r>
        <w:t xml:space="preserve"> </w:t>
      </w:r>
      <w:r>
        <w:t xml:space="preserve">- Negara memiliki kewajiban konstitusional untuk melindungi hak warga atas lingkungan sehat</w:t>
      </w:r>
      <w:r>
        <w:t xml:space="preserve"> </w:t>
      </w:r>
      <w:r>
        <w:t xml:space="preserve">- Para tergugat terbukti lalai dalam menjalankan kewajiban pengendalian pencemaran udara</w:t>
      </w:r>
      <w:r>
        <w:t xml:space="preserve"> </w:t>
      </w:r>
      <w:r>
        <w:t xml:space="preserve">- Tindakan atau kelalaian tergugat memiliki hubungan kausal dengan kondisi pencemaran udara Jakarta</w:t>
      </w:r>
      <w:r>
        <w:t xml:space="preserve"> </w:t>
      </w:r>
      <w:r>
        <w:t xml:space="preserve">- Pengadilan memerintahkan tergugat untuk melaksanakan 13 tindakan perbaikan, termasuk:</w:t>
      </w:r>
      <w:r>
        <w:t xml:space="preserve"> </w:t>
      </w:r>
      <w:r>
        <w:t xml:space="preserve">- Menetapkan dan melaksanakan kebijakan pengendalian pencemaran udara</w:t>
      </w:r>
      <w:r>
        <w:t xml:space="preserve"> </w:t>
      </w:r>
      <w:r>
        <w:t xml:space="preserve">- Memperketat standar emisi kendaraan bermotor</w:t>
      </w:r>
      <w:r>
        <w:t xml:space="preserve"> </w:t>
      </w:r>
      <w:r>
        <w:t xml:space="preserve">- Meningkatkan pengawasan industri</w:t>
      </w:r>
      <w:r>
        <w:t xml:space="preserve"> </w:t>
      </w:r>
      <w:r>
        <w:t xml:space="preserve">- Menyediakan transportasi publik yang memadai</w:t>
      </w:r>
    </w:p>
    <w:p>
      <w:pPr>
        <w:pStyle w:val="BodyText"/>
      </w:pPr>
      <w:r>
        <w:rPr>
          <w:b/>
          <w:bCs/>
        </w:rPr>
        <w:t xml:space="preserve">Putusan Pengadilan Tinggi (17 Oktober 2022):</w:t>
      </w:r>
      <w:r>
        <w:t xml:space="preserve"> </w:t>
      </w:r>
      <w:r>
        <w:t xml:space="preserve">Pengadilan Tinggi menguatkan putusan Pengadilan Negeri dalam putusan No. 549/PDT.G-LH/2022/PT DKI, menolak banding pemerintah.</w:t>
      </w:r>
    </w:p>
    <w:p>
      <w:pPr>
        <w:pStyle w:val="BodyText"/>
      </w:pPr>
      <w:r>
        <w:rPr>
          <w:b/>
          <w:bCs/>
        </w:rPr>
        <w:t xml:space="preserve">Status Implementasi:</w:t>
      </w:r>
      <w:r>
        <w:t xml:space="preserve"> </w:t>
      </w:r>
      <w:r>
        <w:t xml:space="preserve">Per 2023, pemerintah telah melaksanakan sebagian tindakan yang diperintahkan pengadilan, termasuk pengetatan uji emisi kendaraan dan perluasan jaringan transportasi publik. Namun, pemantauan berkelanjutan masih diperlukan untuk memastikan kepatuhan penuh.</w:t>
      </w:r>
    </w:p>
    <w:p>
      <w:pPr>
        <w:pStyle w:val="BodyText"/>
      </w:pPr>
      <w:r>
        <w:rPr>
          <w:b/>
          <w:bCs/>
        </w:rPr>
        <w:t xml:space="preserve">Relevansi untuk Litigasi Iklim:</w:t>
      </w:r>
      <w:r>
        <w:t xml:space="preserve"> </w:t>
      </w:r>
      <w:r>
        <w:t xml:space="preserve">- Menetapkan preseden bahwa pemerintah dapat digugat atas kelalaian dalam perlindungan lingkungan</w:t>
      </w:r>
      <w:r>
        <w:t xml:space="preserve"> </w:t>
      </w:r>
      <w:r>
        <w:t xml:space="preserve">- Membuktikan kausalitas antara kelalaian negara dan kerusakan lingkungan</w:t>
      </w:r>
      <w:r>
        <w:t xml:space="preserve"> </w:t>
      </w:r>
      <w:r>
        <w:t xml:space="preserve">- Menerapkan hak konstitusional atas lingkungan sehat dalam konteks praktis</w:t>
      </w:r>
      <w:r>
        <w:t xml:space="preserve"> </w:t>
      </w:r>
      <w:r>
        <w:t xml:space="preserve">- Menunjukkan efektivitas gugatan warga negara (citizen lawsuit) berdasarkan UU PPLH Pasal 91</w:t>
      </w:r>
    </w:p>
    <w:p>
      <w:pPr>
        <w:pStyle w:val="BodyText"/>
      </w:pPr>
      <w:r>
        <w:rPr>
          <w:b/>
          <w:bCs/>
        </w:rPr>
        <w:t xml:space="preserve">Sumber:</w:t>
      </w:r>
      <w:r>
        <w:t xml:space="preserve"> </w:t>
      </w:r>
      <w:r>
        <w:t xml:space="preserve">-</w:t>
      </w:r>
      <w:r>
        <w:t xml:space="preserve"> </w:t>
      </w:r>
      <w:hyperlink r:id="rId10">
        <w:r>
          <w:rPr>
            <w:rStyle w:val="Hyperlink"/>
          </w:rPr>
          <w:t xml:space="preserve">Putusan PN Jakarta Pusat 374/Pdt.G/LH/2019/PN.Jkt.Pst</w:t>
        </w:r>
      </w:hyperlink>
      <w:r>
        <w:t xml:space="preserve"> </w:t>
      </w:r>
      <w:r>
        <w:t xml:space="preserve">-</w:t>
      </w:r>
      <w:r>
        <w:t xml:space="preserve"> </w:t>
      </w:r>
      <w:hyperlink r:id="rId11">
        <w:r>
          <w:rPr>
            <w:rStyle w:val="Hyperlink"/>
          </w:rPr>
          <w:t xml:space="preserve">ICEL: Jakarta Air Pollution Lawsuit</w:t>
        </w:r>
      </w:hyperlink>
      <w:r>
        <w:t xml:space="preserve"> </w:t>
      </w:r>
      <w:r>
        <w:t xml:space="preserve">-</w:t>
      </w:r>
      <w:r>
        <w:t xml:space="preserve"> </w:t>
      </w:r>
      <w:hyperlink r:id="rId12">
        <w:r>
          <w:rPr>
            <w:rStyle w:val="Hyperlink"/>
          </w:rPr>
          <w:t xml:space="preserve">AMAR Law Firm: IBUKOTA Coalition Wins Air Pollution Lawsuit</w:t>
        </w:r>
      </w:hyperlink>
    </w:p>
    <w:p>
      <w:r>
        <w:pict>
          <v:rect style="width:0;height:1.5pt" o:hralign="center" o:hrstd="t" o:hr="t"/>
        </w:pict>
      </w:r>
    </w:p>
    <w:bookmarkEnd w:id="13"/>
    <w:bookmarkStart w:id="17" w:name="Xb323d35fe4350f64ee16709bd85dba876eae299"/>
    <w:p>
      <w:pPr>
        <w:pStyle w:val="Heading4"/>
      </w:pPr>
      <w:r>
        <w:t xml:space="preserve">1.2 Gugatan Pulau Pari terhadap Holcim (2023-sekarang)</w:t>
      </w:r>
    </w:p>
    <w:p>
      <w:pPr>
        <w:pStyle w:val="FirstParagraph"/>
      </w:pPr>
      <w:r>
        <w:rPr>
          <w:b/>
          <w:bCs/>
        </w:rPr>
        <w:t xml:space="preserve">Forum:</w:t>
      </w:r>
      <w:r>
        <w:t xml:space="preserve"> </w:t>
      </w:r>
      <w:r>
        <w:t xml:space="preserve">Pengadilan Kanton Zug, Swiss</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4 (empat) nelayan dan warga Pulau Pari, Kepulauan Seribu, DKI Jakarta</w:t>
      </w:r>
      <w:r>
        <w:t xml:space="preserve"> </w:t>
      </w:r>
      <w:r>
        <w:t xml:space="preserve">1. Asmania (perempuan, pemilik penginapan dan usaha pariwisata)</w:t>
      </w:r>
      <w:r>
        <w:t xml:space="preserve"> </w:t>
      </w:r>
      <w:r>
        <w:t xml:space="preserve">2. Arif (nelayan)</w:t>
      </w:r>
      <w:r>
        <w:t xml:space="preserve"> </w:t>
      </w:r>
      <w:r>
        <w:t xml:space="preserve">3. Edi (nelayan)</w:t>
      </w:r>
      <w:r>
        <w:t xml:space="preserve"> </w:t>
      </w:r>
      <w:r>
        <w:t xml:space="preserve">4. Bobby (nelayan)</w:t>
      </w:r>
      <w:r>
        <w:t xml:space="preserve"> </w:t>
      </w:r>
      <w:r>
        <w:t xml:space="preserve">-</w:t>
      </w:r>
      <w:r>
        <w:t xml:space="preserve"> </w:t>
      </w:r>
      <w:r>
        <w:rPr>
          <w:b/>
          <w:bCs/>
        </w:rPr>
        <w:t xml:space="preserve">Tergugat:</w:t>
      </w:r>
      <w:r>
        <w:t xml:space="preserve"> </w:t>
      </w:r>
      <w:r>
        <w:t xml:space="preserve">Holcim Ltd. (perusahaan semen multinasional berkantor pusat di Zug, Swiss)</w:t>
      </w:r>
    </w:p>
    <w:p>
      <w:pPr>
        <w:pStyle w:val="BodyText"/>
      </w:pPr>
      <w:r>
        <w:rPr>
          <w:b/>
          <w:bCs/>
        </w:rPr>
        <w:t xml:space="preserve">Latar Belakang:</w:t>
      </w:r>
      <w:r>
        <w:t xml:space="preserve"> </w:t>
      </w:r>
      <w:r>
        <w:t xml:space="preserve">Pulau Pari adalah pulau kecil berpenduduk sekitar 1.500 jiwa di Kepulauan Seribu. Sebagai pulau dataran rendah dengan ketinggian rata-rata hanya 1-2 meter di atas permukaan laut, pulau ini sangat rentan terhadap dampak perubahan iklim, khususnya kenaikan permukaan laut dan banjir rob (tidal flooding).</w:t>
      </w:r>
    </w:p>
    <w:p>
      <w:pPr>
        <w:pStyle w:val="BodyText"/>
      </w:pPr>
      <w:r>
        <w:t xml:space="preserve">Para penggugat mengalami kerugian konkret:</w:t>
      </w:r>
      <w:r>
        <w:t xml:space="preserve"> </w:t>
      </w:r>
      <w:r>
        <w:t xml:space="preserve">- Banjir rob yang semakin sering dan tinggi telah merusak rumah, perahu, dan infrastruktur komunitas</w:t>
      </w:r>
      <w:r>
        <w:t xml:space="preserve"> </w:t>
      </w:r>
      <w:r>
        <w:t xml:space="preserve">- Hilangnya area pesisir dan terumbu karang yang menjadi sumber mata pencaharian nelayan</w:t>
      </w:r>
      <w:r>
        <w:t xml:space="preserve"> </w:t>
      </w:r>
      <w:r>
        <w:t xml:space="preserve">- Penurunan drastis hasil tangkapan ikan</w:t>
      </w:r>
      <w:r>
        <w:t xml:space="preserve"> </w:t>
      </w:r>
      <w:r>
        <w:t xml:space="preserve">- Kerusakan usaha pariwisata akibat erosi pantai dan kerusakan ekosistem</w:t>
      </w:r>
    </w:p>
    <w:p>
      <w:pPr>
        <w:pStyle w:val="BodyText"/>
      </w:pPr>
      <w:r>
        <w:rPr>
          <w:b/>
          <w:bCs/>
        </w:rPr>
        <w:t xml:space="preserve">Dasar Gugatan:</w:t>
      </w:r>
      <w:r>
        <w:t xml:space="preserve"> </w:t>
      </w:r>
      <w:r>
        <w:t xml:space="preserve">Gugatan diajukan pada Januari 2023 di pengadilan Swiss berdasarkan:</w:t>
      </w:r>
      <w:r>
        <w:t xml:space="preserve"> </w:t>
      </w:r>
      <w:r>
        <w:t xml:space="preserve">1.</w:t>
      </w:r>
      <w:r>
        <w:t xml:space="preserve"> </w:t>
      </w:r>
      <w:r>
        <w:rPr>
          <w:b/>
          <w:bCs/>
        </w:rPr>
        <w:t xml:space="preserve">Hukum Perdata Swiss:</w:t>
      </w:r>
      <w:r>
        <w:t xml:space="preserve"> </w:t>
      </w:r>
      <w:r>
        <w:t xml:space="preserve">Pasal 41 Swiss Code of Obligations tentang tanggung jawab tort (duty of care)</w:t>
      </w:r>
      <w:r>
        <w:t xml:space="preserve"> </w:t>
      </w:r>
      <w:r>
        <w:t xml:space="preserve">2.</w:t>
      </w:r>
      <w:r>
        <w:t xml:space="preserve"> </w:t>
      </w:r>
      <w:r>
        <w:rPr>
          <w:b/>
          <w:bCs/>
        </w:rPr>
        <w:t xml:space="preserve">Pelanggaran Hak Asasi Manusia:</w:t>
      </w:r>
      <w:r>
        <w:t xml:space="preserve"> </w:t>
      </w:r>
      <w:r>
        <w:t xml:space="preserve">Hak atas kehidupan, kesehatan, dan mata pencaharian</w:t>
      </w:r>
      <w:r>
        <w:t xml:space="preserve"> </w:t>
      </w:r>
      <w:r>
        <w:t xml:space="preserve">3.</w:t>
      </w:r>
      <w:r>
        <w:t xml:space="preserve"> </w:t>
      </w:r>
      <w:r>
        <w:rPr>
          <w:b/>
          <w:bCs/>
        </w:rPr>
        <w:t xml:space="preserve">Kontribusi Emisi:</w:t>
      </w:r>
      <w:r>
        <w:t xml:space="preserve"> </w:t>
      </w:r>
      <w:r>
        <w:t xml:space="preserve">Holcim sebagai salah satu produsen semen terbesar dunia bertanggung jawab atas sekitar 0,42% emisi CO₂ global kumulatif sejak Revolusi Industri</w:t>
      </w:r>
    </w:p>
    <w:p>
      <w:pPr>
        <w:pStyle w:val="BodyText"/>
      </w:pPr>
      <w:r>
        <w:rPr>
          <w:b/>
          <w:bCs/>
        </w:rPr>
        <w:t xml:space="preserve">Petitum (Tuntutan):</w:t>
      </w:r>
      <w:r>
        <w:t xml:space="preserve"> </w:t>
      </w:r>
      <w:r>
        <w:t xml:space="preserve">1. Memerintahkan Holcim untuk mengurangi emisi CO₂ sebesar 43% pada 2030 dan mencapai net-zero pada 2050 (sejalan dengan target Paris Agreement)</w:t>
      </w:r>
      <w:r>
        <w:t xml:space="preserve"> </w:t>
      </w:r>
      <w:r>
        <w:t xml:space="preserve">2. Membayar kompensasi atas kerusakan yang telah terjadi kepada para penggugat</w:t>
      </w:r>
      <w:r>
        <w:t xml:space="preserve"> </w:t>
      </w:r>
      <w:r>
        <w:t xml:space="preserve">3. Berkontribusi pada biaya adaptasi perubahan iklim di Pulau Pari (seperti tanggul pelindung, restorasi mangrove, dan relokasi infrastruktur)</w:t>
      </w:r>
    </w:p>
    <w:p>
      <w:pPr>
        <w:pStyle w:val="BodyText"/>
      </w:pPr>
      <w:r>
        <w:rPr>
          <w:b/>
          <w:bCs/>
        </w:rPr>
        <w:t xml:space="preserve">Perkembangan Prosedural:</w:t>
      </w:r>
      <w:r>
        <w:t xml:space="preserve"> </w:t>
      </w:r>
      <w:r>
        <w:t xml:space="preserve">-</w:t>
      </w:r>
      <w:r>
        <w:t xml:space="preserve"> </w:t>
      </w:r>
      <w:r>
        <w:rPr>
          <w:b/>
          <w:bCs/>
        </w:rPr>
        <w:t xml:space="preserve">Januari 2023:</w:t>
      </w:r>
      <w:r>
        <w:t xml:space="preserve"> </w:t>
      </w:r>
      <w:r>
        <w:t xml:space="preserve">Gugatan diajukan</w:t>
      </w:r>
      <w:r>
        <w:t xml:space="preserve"> </w:t>
      </w:r>
      <w:r>
        <w:t xml:space="preserve">-</w:t>
      </w:r>
      <w:r>
        <w:t xml:space="preserve"> </w:t>
      </w:r>
      <w:r>
        <w:rPr>
          <w:b/>
          <w:bCs/>
        </w:rPr>
        <w:t xml:space="preserve">Desember 2025:</w:t>
      </w:r>
      <w:r>
        <w:t xml:space="preserve"> </w:t>
      </w:r>
      <w:r>
        <w:t xml:space="preserve">Pengadilan Kanton Zug memutuskan untuk menerima gugatan dan memeriksa substansi perkara (admissibility decision)</w:t>
      </w:r>
    </w:p>
    <w:p>
      <w:pPr>
        <w:pStyle w:val="BodyText"/>
      </w:pPr>
      <w:r>
        <w:rPr>
          <w:b/>
          <w:bCs/>
        </w:rPr>
        <w:t xml:space="preserve">Pertimbangan Pengadilan Kanton Zug (Desember 2025):</w:t>
      </w:r>
      <w:r>
        <w:t xml:space="preserve"> </w:t>
      </w:r>
      <w:r>
        <w:t xml:space="preserve">Pengadilan menolak argumen Holcim bahwa perkara ini adalah</w:t>
      </w:r>
      <w:r>
        <w:t xml:space="preserve"> </w:t>
      </w:r>
      <w:r>
        <w:t xml:space="preserve">“political question”</w:t>
      </w:r>
      <w:r>
        <w:t xml:space="preserve"> </w:t>
      </w:r>
      <w:r>
        <w:t xml:space="preserve">yang bukan domain pengadilan, dengan menyatakan:</w:t>
      </w:r>
      <w:r>
        <w:t xml:space="preserve"> </w:t>
      </w:r>
      <w:r>
        <w:t xml:space="preserve">&gt;</w:t>
      </w:r>
      <w:r>
        <w:t xml:space="preserve"> </w:t>
      </w:r>
      <w:r>
        <w:t xml:space="preserve">“Keputusan pengadilan tidak menggantikan kebijakan perlindungan iklim yang dibuat secara demokratis, tetapi melengkapinya. Setiap kontribusi individu sangat penting untuk mengatasi perubahan iklim, dan perilaku yang merusak tidak dapat dibenarkan hanya karena pihak lain juga melakukan hal yang sama.”</w:t>
      </w:r>
    </w:p>
    <w:p>
      <w:pPr>
        <w:pStyle w:val="BodyText"/>
      </w:pPr>
      <w:r>
        <w:t xml:space="preserve">Pengadilan juga menegaskan bahwa perusahaan memiliki</w:t>
      </w:r>
      <w:r>
        <w:t xml:space="preserve"> </w:t>
      </w:r>
      <w:r>
        <w:t xml:space="preserve">“duty of care”</w:t>
      </w:r>
      <w:r>
        <w:t xml:space="preserve"> </w:t>
      </w:r>
      <w:r>
        <w:t xml:space="preserve">untuk tidak menyebabkan kerugian yang dapat diprediksi, termasuk kerugian akibat perubahan iklim.</w:t>
      </w:r>
    </w:p>
    <w:p>
      <w:pPr>
        <w:pStyle w:val="BodyText"/>
      </w:pPr>
      <w:r>
        <w:rPr>
          <w:b/>
          <w:bCs/>
        </w:rPr>
        <w:t xml:space="preserve">Signifikansi Hukum:</w:t>
      </w:r>
      <w:r>
        <w:t xml:space="preserve"> </w:t>
      </w:r>
      <w:r>
        <w:t xml:space="preserve">-</w:t>
      </w:r>
      <w:r>
        <w:t xml:space="preserve"> </w:t>
      </w:r>
      <w:r>
        <w:rPr>
          <w:b/>
          <w:bCs/>
        </w:rPr>
        <w:t xml:space="preserve">Pertama kali</w:t>
      </w:r>
      <w:r>
        <w:t xml:space="preserve"> </w:t>
      </w:r>
      <w:r>
        <w:t xml:space="preserve">pengadilan Swiss menerima gugatan litigasi iklim terhadap korporasi besar</w:t>
      </w:r>
      <w:r>
        <w:t xml:space="preserve"> </w:t>
      </w:r>
      <w:r>
        <w:t xml:space="preserve">- Jika berhasil, akan menjadi preseden pertama yang menetapkan tanggung jawab hukum perusahaan Swiss atas kontribusinya terhadap pemanasan global</w:t>
      </w:r>
      <w:r>
        <w:t xml:space="preserve"> </w:t>
      </w:r>
      <w:r>
        <w:t xml:space="preserve">- Menunjukkan bahwa warga negara dari negara berkembang (Global South) dapat menuntut pertanggungjawaban korporasi multinasional di yurisdiksi negara asal perusahaan (home state jurisdiction)</w:t>
      </w:r>
      <w:r>
        <w:t xml:space="preserve"> </w:t>
      </w:r>
      <w:r>
        <w:t xml:space="preserve">- Menguji konsep</w:t>
      </w:r>
      <w:r>
        <w:t xml:space="preserve"> </w:t>
      </w:r>
      <w:r>
        <w:rPr>
          <w:b/>
          <w:bCs/>
        </w:rPr>
        <w:t xml:space="preserve">extraterritorial climate justice:</w:t>
      </w:r>
      <w:r>
        <w:t xml:space="preserve"> </w:t>
      </w:r>
      <w:r>
        <w:t xml:space="preserve">perusahaan di negara maju dapat digugat atas dampak yang dirasakan di negara berkembang</w:t>
      </w:r>
    </w:p>
    <w:p>
      <w:pPr>
        <w:pStyle w:val="BodyText"/>
      </w:pPr>
      <w:r>
        <w:rPr>
          <w:b/>
          <w:bCs/>
        </w:rPr>
        <w:t xml:space="preserve">Status Saat Ini:</w:t>
      </w:r>
      <w:r>
        <w:t xml:space="preserve"> </w:t>
      </w:r>
      <w:r>
        <w:t xml:space="preserve">Perkara saat ini dalam tahap pemeriksaan pokok perkara (merits phase). Persidangan akan meneliti bukti ilmiah tentang atribusi emisi Holcim terhadap dampak spesifik di Pulau Pari, serta kewajiban hukum perusahaan berdasarkan hukum Swiss dan prinsip hak asasi manusia.</w:t>
      </w:r>
    </w:p>
    <w:p>
      <w:pPr>
        <w:pStyle w:val="BodyText"/>
      </w:pPr>
      <w:r>
        <w:rPr>
          <w:b/>
          <w:bCs/>
        </w:rPr>
        <w:t xml:space="preserve">Sumber:</w:t>
      </w:r>
      <w:r>
        <w:t xml:space="preserve"> </w:t>
      </w:r>
      <w:r>
        <w:t xml:space="preserve">-</w:t>
      </w:r>
      <w:r>
        <w:t xml:space="preserve"> </w:t>
      </w:r>
      <w:hyperlink r:id="rId14">
        <w:r>
          <w:rPr>
            <w:rStyle w:val="Hyperlink"/>
          </w:rPr>
          <w:t xml:space="preserve">Climate in the Courts: Pari Islanders’ Climate Case Against Holcim</w:t>
        </w:r>
      </w:hyperlink>
      <w:r>
        <w:t xml:space="preserve"> </w:t>
      </w:r>
      <w:r>
        <w:t xml:space="preserve">-</w:t>
      </w:r>
      <w:r>
        <w:t xml:space="preserve"> </w:t>
      </w:r>
      <w:hyperlink r:id="rId15">
        <w:r>
          <w:rPr>
            <w:rStyle w:val="Hyperlink"/>
          </w:rPr>
          <w:t xml:space="preserve">Al Jazeera: Swiss court to hear Indonesian islanders’ climate case</w:t>
        </w:r>
      </w:hyperlink>
      <w:r>
        <w:t xml:space="preserve"> </w:t>
      </w:r>
      <w:r>
        <w:t xml:space="preserve">-</w:t>
      </w:r>
      <w:r>
        <w:t xml:space="preserve"> </w:t>
      </w:r>
      <w:hyperlink r:id="rId16">
        <w:r>
          <w:rPr>
            <w:rStyle w:val="Hyperlink"/>
          </w:rPr>
          <w:t xml:space="preserve">Tempo: Swiss Court Affirms Indonesian Fishermen’s Right to Sue Holcim</w:t>
        </w:r>
      </w:hyperlink>
    </w:p>
    <w:p>
      <w:r>
        <w:pict>
          <v:rect style="width:0;height:1.5pt" o:hralign="center" o:hrstd="t" o:hr="t"/>
        </w:pict>
      </w:r>
    </w:p>
    <w:bookmarkEnd w:id="17"/>
    <w:bookmarkStart w:id="21" w:name="X5c31e9e237df9a6509c33346aeea4881a32b319"/>
    <w:p>
      <w:pPr>
        <w:pStyle w:val="Heading4"/>
      </w:pPr>
      <w:r>
        <w:t xml:space="preserve">1.3 Gugatan Izin PLTU Tanjung Jati A, Cirebon (2022)</w:t>
      </w:r>
    </w:p>
    <w:p>
      <w:pPr>
        <w:pStyle w:val="FirstParagraph"/>
      </w:pPr>
      <w:r>
        <w:rPr>
          <w:b/>
          <w:bCs/>
        </w:rPr>
        <w:t xml:space="preserve">Nomor Perkara:</w:t>
      </w:r>
      <w:r>
        <w:t xml:space="preserve"> </w:t>
      </w:r>
      <w:r>
        <w:t xml:space="preserve">Putusan Pengadilan Tata Usaha Negara Bandung, Oktober 2022</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WALHI (Wahana Lingkungan Hidup Indonesia) Jawa Barat</w:t>
      </w:r>
      <w:r>
        <w:t xml:space="preserve"> </w:t>
      </w:r>
      <w:r>
        <w:t xml:space="preserve">-</w:t>
      </w:r>
      <w:r>
        <w:t xml:space="preserve"> </w:t>
      </w:r>
      <w:r>
        <w:rPr>
          <w:b/>
          <w:bCs/>
        </w:rPr>
        <w:t xml:space="preserve">Tergugat:</w:t>
      </w:r>
      <w:r>
        <w:t xml:space="preserve"> </w:t>
      </w:r>
      <w:r>
        <w:t xml:space="preserve">Gubernur Jawa Barat (selaku pejabat yang menerbitkan izin lingkungan PLTU Tanjung Jati A)</w:t>
      </w:r>
      <w:r>
        <w:t xml:space="preserve"> </w:t>
      </w:r>
      <w:r>
        <w:t xml:space="preserve">-</w:t>
      </w:r>
      <w:r>
        <w:t xml:space="preserve"> </w:t>
      </w:r>
      <w:r>
        <w:rPr>
          <w:b/>
          <w:bCs/>
        </w:rPr>
        <w:t xml:space="preserve">Intervensi:</w:t>
      </w:r>
      <w:r>
        <w:t xml:space="preserve"> </w:t>
      </w:r>
      <w:r>
        <w:t xml:space="preserve">Developer PLTU (PT Cirebon Energi Prasarana)</w:t>
      </w:r>
    </w:p>
    <w:p>
      <w:pPr>
        <w:pStyle w:val="BodyText"/>
      </w:pPr>
      <w:r>
        <w:rPr>
          <w:b/>
          <w:bCs/>
        </w:rPr>
        <w:t xml:space="preserve">Latar Belakang:</w:t>
      </w:r>
      <w:r>
        <w:t xml:space="preserve"> </w:t>
      </w:r>
      <w:r>
        <w:t xml:space="preserve">PLTU Tanjung Jati A adalah proyek pembangkit listrik tenaga uap (coal-fired power plant) dengan kapasitas 2 x 1.000 MW yang direncanakan di Kabupaten Cirebon, Jawa Barat. Izin lingkungan (berdasarkan AMDAL) dikeluarkan pada 2009, namun konstruksi tidak dimulai hingga bertahun-tahun kemudian.</w:t>
      </w:r>
    </w:p>
    <w:p>
      <w:pPr>
        <w:pStyle w:val="BodyText"/>
      </w:pPr>
      <w:r>
        <w:rPr>
          <w:b/>
          <w:bCs/>
        </w:rPr>
        <w:t xml:space="preserve">Dasar Gugatan:</w:t>
      </w:r>
      <w:r>
        <w:t xml:space="preserve"> </w:t>
      </w:r>
      <w:r>
        <w:t xml:space="preserve">WALHI mengajukan gugatan pembatalan izin lingkungan dengan argumen:</w:t>
      </w:r>
      <w:r>
        <w:t xml:space="preserve"> </w:t>
      </w:r>
      <w:r>
        <w:t xml:space="preserve">1.</w:t>
      </w:r>
      <w:r>
        <w:t xml:space="preserve"> </w:t>
      </w:r>
      <w:r>
        <w:rPr>
          <w:b/>
          <w:bCs/>
        </w:rPr>
        <w:t xml:space="preserve">Izin telah kedaluwarsa:</w:t>
      </w:r>
      <w:r>
        <w:t xml:space="preserve"> </w:t>
      </w:r>
      <w:r>
        <w:t xml:space="preserve">Berdasarkan peraturan, izin lingkungan berlaku 3 tahun sejak diterbitkan. Karena diterbitkan 2009 tanpa aktivitas konstruksi hingga 2020-an, izin dianggap tidak lagi valid</w:t>
      </w:r>
      <w:r>
        <w:t xml:space="preserve"> </w:t>
      </w:r>
      <w:r>
        <w:t xml:space="preserve">2.</w:t>
      </w:r>
      <w:r>
        <w:t xml:space="preserve"> </w:t>
      </w:r>
      <w:r>
        <w:rPr>
          <w:b/>
          <w:bCs/>
        </w:rPr>
        <w:t xml:space="preserve">AMDAL tidak memadai:</w:t>
      </w:r>
      <w:r>
        <w:t xml:space="preserve"> </w:t>
      </w:r>
      <w:r>
        <w:t xml:space="preserve">Dokumen AMDAL tidak menganalisis dampak emisi CO₂ dan kontribusi proyek terhadap perubahan iklim</w:t>
      </w:r>
      <w:r>
        <w:t xml:space="preserve"> </w:t>
      </w:r>
      <w:r>
        <w:t xml:space="preserve">3.</w:t>
      </w:r>
      <w:r>
        <w:t xml:space="preserve"> </w:t>
      </w:r>
      <w:r>
        <w:rPr>
          <w:b/>
          <w:bCs/>
        </w:rPr>
        <w:t xml:space="preserve">Inkonsistensi dengan komitmen iklim:</w:t>
      </w:r>
      <w:r>
        <w:t xml:space="preserve"> </w:t>
      </w:r>
      <w:r>
        <w:t xml:space="preserve">Proyek bertentangan dengan komitmen Indonesia dalam Paris Agreement dan NDC (Nationally Determined Contribution)</w:t>
      </w:r>
      <w:r>
        <w:t xml:space="preserve"> </w:t>
      </w:r>
      <w:r>
        <w:t xml:space="preserve">4.</w:t>
      </w:r>
      <w:r>
        <w:t xml:space="preserve"> </w:t>
      </w:r>
      <w:r>
        <w:rPr>
          <w:b/>
          <w:bCs/>
        </w:rPr>
        <w:t xml:space="preserve">Ancaman terhadap hak konstitusional:</w:t>
      </w:r>
      <w:r>
        <w:t xml:space="preserve"> </w:t>
      </w:r>
      <w:r>
        <w:t xml:space="preserve">Emisi dari PLTU akan memperburuk perubahan iklim dan mengancam hak warga atas lingkungan sehat (UUD 1945 Pasal 28H)</w:t>
      </w:r>
    </w:p>
    <w:p>
      <w:pPr>
        <w:pStyle w:val="BodyText"/>
      </w:pPr>
      <w:r>
        <w:rPr>
          <w:b/>
          <w:bCs/>
        </w:rPr>
        <w:t xml:space="preserve">Fakta Emisi:</w:t>
      </w:r>
      <w:r>
        <w:t xml:space="preserve"> </w:t>
      </w:r>
      <w:r>
        <w:t xml:space="preserve">- PLTU Tanjung Jati A akan menghasilkan sekitar 530 juta ton CO₂ selama 30 tahun masa operasi</w:t>
      </w:r>
      <w:r>
        <w:t xml:space="preserve"> </w:t>
      </w:r>
      <w:r>
        <w:t xml:space="preserve">- Emisi ini setara dengan emisi tahunan seluruh sektor transportasi Indonesia</w:t>
      </w:r>
    </w:p>
    <w:p>
      <w:pPr>
        <w:pStyle w:val="BodyText"/>
      </w:pPr>
      <w:r>
        <w:rPr>
          <w:b/>
          <w:bCs/>
        </w:rPr>
        <w:t xml:space="preserve">Putusan PTUN Bandung (Oktober 2022):</w:t>
      </w:r>
      <w:r>
        <w:t xml:space="preserve"> </w:t>
      </w:r>
      <w:r>
        <w:t xml:space="preserve">Pengadilan mengabulkan gugatan WALHI dan membatalkan izin lingkungan PLTU Tanjung Jati A, dengan pertimbangan:</w:t>
      </w:r>
      <w:r>
        <w:t xml:space="preserve"> </w:t>
      </w:r>
      <w:r>
        <w:t xml:space="preserve">1.</w:t>
      </w:r>
      <w:r>
        <w:t xml:space="preserve"> </w:t>
      </w:r>
      <w:r>
        <w:rPr>
          <w:b/>
          <w:bCs/>
        </w:rPr>
        <w:t xml:space="preserve">Izin lingkungan kedaluwarsa</w:t>
      </w:r>
      <w:r>
        <w:t xml:space="preserve"> </w:t>
      </w:r>
      <w:r>
        <w:t xml:space="preserve">karena tidak ada tindak lanjut konstruksi dalam jangka waktu yang ditentukan</w:t>
      </w:r>
      <w:r>
        <w:t xml:space="preserve"> </w:t>
      </w:r>
      <w:r>
        <w:t xml:space="preserve">2.</w:t>
      </w:r>
      <w:r>
        <w:t xml:space="preserve"> </w:t>
      </w:r>
      <w:r>
        <w:rPr>
          <w:b/>
          <w:bCs/>
        </w:rPr>
        <w:t xml:space="preserve">Analisis dampak lingkungan tidak memadai</w:t>
      </w:r>
      <w:r>
        <w:t xml:space="preserve">, khususnya terkait emisi CO₂ dan dampak perubahan iklim</w:t>
      </w:r>
      <w:r>
        <w:t xml:space="preserve"> </w:t>
      </w:r>
      <w:r>
        <w:t xml:space="preserve">3.</w:t>
      </w:r>
      <w:r>
        <w:t xml:space="preserve"> </w:t>
      </w:r>
      <w:r>
        <w:rPr>
          <w:b/>
          <w:bCs/>
        </w:rPr>
        <w:t xml:space="preserve">Proyek tidak layak secara lingkungan</w:t>
      </w:r>
      <w:r>
        <w:t xml:space="preserve"> </w:t>
      </w:r>
      <w:r>
        <w:t xml:space="preserve">karena ancaman emisi CO₂ yang masif terhadap kehidupan dan lingkungan</w:t>
      </w:r>
      <w:r>
        <w:t xml:space="preserve"> </w:t>
      </w:r>
      <w:r>
        <w:t xml:space="preserve">4. Pengadilan menyatakan:</w:t>
      </w:r>
      <w:r>
        <w:t xml:space="preserve"> </w:t>
      </w:r>
      <w:r>
        <w:rPr>
          <w:i/>
          <w:iCs/>
        </w:rPr>
        <w:t xml:space="preserve">“Dalam ketiadaan analisis pelepasan CO₂, proyek PLTU Tanjung Jati A dianggap tidak layak karena mengancam kehidupan dan lingkungan.”</w:t>
      </w:r>
    </w:p>
    <w:p>
      <w:pPr>
        <w:pStyle w:val="BodyText"/>
      </w:pPr>
      <w:r>
        <w:rPr>
          <w:b/>
          <w:bCs/>
        </w:rPr>
        <w:t xml:space="preserve">Signifikansi Hukum:</w:t>
      </w:r>
      <w:r>
        <w:t xml:space="preserve"> </w:t>
      </w:r>
      <w:r>
        <w:t xml:space="preserve">-</w:t>
      </w:r>
      <w:r>
        <w:t xml:space="preserve"> </w:t>
      </w:r>
      <w:r>
        <w:rPr>
          <w:b/>
          <w:bCs/>
        </w:rPr>
        <w:t xml:space="preserve">Kasus pertama di Indonesia</w:t>
      </w:r>
      <w:r>
        <w:t xml:space="preserve"> </w:t>
      </w:r>
      <w:r>
        <w:t xml:space="preserve">di mana pengadilan membatalkan izin lingkungan dengan</w:t>
      </w:r>
      <w:r>
        <w:t xml:space="preserve"> </w:t>
      </w:r>
      <w:r>
        <w:rPr>
          <w:b/>
          <w:bCs/>
        </w:rPr>
        <w:t xml:space="preserve">alasan perubahan iklim</w:t>
      </w:r>
      <w:r>
        <w:t xml:space="preserve"> </w:t>
      </w:r>
      <w:r>
        <w:t xml:space="preserve">sebagai pertimbangan yuridis</w:t>
      </w:r>
      <w:r>
        <w:t xml:space="preserve"> </w:t>
      </w:r>
      <w:r>
        <w:t xml:space="preserve">- Menetapkan preseden bahwa</w:t>
      </w:r>
      <w:r>
        <w:t xml:space="preserve"> </w:t>
      </w:r>
      <w:r>
        <w:rPr>
          <w:b/>
          <w:bCs/>
        </w:rPr>
        <w:t xml:space="preserve">analisis emisi CO₂ dan dampak iklim adalah bagian wajib</w:t>
      </w:r>
      <w:r>
        <w:t xml:space="preserve"> </w:t>
      </w:r>
      <w:r>
        <w:t xml:space="preserve">dari dokumen AMDAL untuk proyek besar</w:t>
      </w:r>
      <w:r>
        <w:t xml:space="preserve"> </w:t>
      </w:r>
      <w:r>
        <w:t xml:space="preserve">- Menunjukkan bahwa komitmen iklim internasional (Paris Agreement, NDC) dapat menjadi dasar pengujian legalitas izin proyek domestik</w:t>
      </w:r>
      <w:r>
        <w:t xml:space="preserve"> </w:t>
      </w:r>
      <w:r>
        <w:t xml:space="preserve">- Memperkuat peran gugatan TUN (Tata Usaha Negara) sebagai instrumen litigasi iklim preventif</w:t>
      </w:r>
    </w:p>
    <w:p>
      <w:pPr>
        <w:pStyle w:val="BodyText"/>
      </w:pPr>
      <w:r>
        <w:rPr>
          <w:b/>
          <w:bCs/>
        </w:rPr>
        <w:t xml:space="preserve">Status Implementasi:</w:t>
      </w:r>
      <w:r>
        <w:t xml:space="preserve"> </w:t>
      </w:r>
      <w:r>
        <w:t xml:space="preserve">Putusan tidak diajukan banding oleh Gubernur Jawa Barat dan berkekuatan hukum tetap pada November 2022. Proyek PLTU Tanjung Jati A secara resmi dibatalkan.</w:t>
      </w:r>
    </w:p>
    <w:p>
      <w:pPr>
        <w:pStyle w:val="BodyText"/>
      </w:pPr>
      <w:r>
        <w:rPr>
          <w:b/>
          <w:bCs/>
        </w:rPr>
        <w:t xml:space="preserve">Catatan Komparatif:</w:t>
      </w:r>
      <w:r>
        <w:t xml:space="preserve"> </w:t>
      </w:r>
      <w:r>
        <w:t xml:space="preserve">Kasus serupa di Cirebon (PLTU Cirebon expansion) mengalami nasib berbeda: gugatan ditolak karena pengadilan tidak mengakui standing (kedudukan hukum) penggugat. Ini menunjukkan bahwa keberhasilan litigasi iklim sangat bergantung pada strategi hukum, pemilihan forum, dan kualitas pembuktian.</w:t>
      </w:r>
    </w:p>
    <w:p>
      <w:pPr>
        <w:pStyle w:val="BodyText"/>
      </w:pPr>
      <w:r>
        <w:rPr>
          <w:b/>
          <w:bCs/>
        </w:rPr>
        <w:t xml:space="preserve">Sumber:</w:t>
      </w:r>
      <w:r>
        <w:t xml:space="preserve"> </w:t>
      </w:r>
      <w:r>
        <w:t xml:space="preserve">-</w:t>
      </w:r>
      <w:r>
        <w:t xml:space="preserve"> </w:t>
      </w:r>
      <w:hyperlink r:id="rId18">
        <w:r>
          <w:rPr>
            <w:rStyle w:val="Hyperlink"/>
          </w:rPr>
          <w:t xml:space="preserve">ELAW: Indonesian Coal Plant Defeated</w:t>
        </w:r>
      </w:hyperlink>
      <w:r>
        <w:t xml:space="preserve"> </w:t>
      </w:r>
      <w:r>
        <w:t xml:space="preserve">-</w:t>
      </w:r>
      <w:r>
        <w:t xml:space="preserve"> </w:t>
      </w:r>
      <w:hyperlink r:id="rId19">
        <w:r>
          <w:rPr>
            <w:rStyle w:val="Hyperlink"/>
          </w:rPr>
          <w:t xml:space="preserve">Trend Asia: Indonesian State Court Revoked the Environmental Permit</w:t>
        </w:r>
      </w:hyperlink>
      <w:r>
        <w:t xml:space="preserve"> </w:t>
      </w:r>
      <w:r>
        <w:t xml:space="preserve">-</w:t>
      </w:r>
      <w:r>
        <w:t xml:space="preserve"> </w:t>
      </w:r>
      <w:hyperlink r:id="rId20">
        <w:r>
          <w:rPr>
            <w:rStyle w:val="Hyperlink"/>
          </w:rPr>
          <w:t xml:space="preserve">Mongabay: Indonesian court revokes environmental license for Cirebon coal plant</w:t>
        </w:r>
      </w:hyperlink>
    </w:p>
    <w:p>
      <w:r>
        <w:pict>
          <v:rect style="width:0;height:1.5pt" o:hralign="center" o:hrstd="t" o:hr="t"/>
        </w:pict>
      </w:r>
    </w:p>
    <w:bookmarkEnd w:id="21"/>
    <w:bookmarkEnd w:id="22"/>
    <w:bookmarkStart w:id="39" w:name="preseden-internasional"/>
    <w:p>
      <w:pPr>
        <w:pStyle w:val="Heading3"/>
      </w:pPr>
      <w:r>
        <w:t xml:space="preserve">2. PRESEDEN INTERNASIONAL</w:t>
      </w:r>
    </w:p>
    <w:bookmarkStart w:id="26" w:name="X6a9c0e5628181480361d8cb109529eeda597fef"/>
    <w:p>
      <w:pPr>
        <w:pStyle w:val="Heading4"/>
      </w:pPr>
      <w:r>
        <w:t xml:space="preserve">2.1 Urgenda Foundation v. State of the Netherlands (2019)</w:t>
      </w:r>
    </w:p>
    <w:p>
      <w:pPr>
        <w:pStyle w:val="FirstParagraph"/>
      </w:pPr>
      <w:r>
        <w:rPr>
          <w:b/>
          <w:bCs/>
        </w:rPr>
        <w:t xml:space="preserve">Forum:</w:t>
      </w:r>
      <w:r>
        <w:t xml:space="preserve"> </w:t>
      </w:r>
      <w:r>
        <w:t xml:space="preserve">Hoge Raad (Mahkamah Agung Belanda)</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Urgenda Foundation (LSM lingkungan Belanda), mewakili 886 warga negara Belanda</w:t>
      </w:r>
      <w:r>
        <w:t xml:space="preserve"> </w:t>
      </w:r>
      <w:r>
        <w:t xml:space="preserve">-</w:t>
      </w:r>
      <w:r>
        <w:t xml:space="preserve"> </w:t>
      </w:r>
      <w:r>
        <w:rPr>
          <w:b/>
          <w:bCs/>
        </w:rPr>
        <w:t xml:space="preserve">Tergugat:</w:t>
      </w:r>
      <w:r>
        <w:t xml:space="preserve"> </w:t>
      </w:r>
      <w:r>
        <w:t xml:space="preserve">State of the Netherlands (Pemerintah Belanda)</w:t>
      </w:r>
    </w:p>
    <w:p>
      <w:pPr>
        <w:pStyle w:val="BodyText"/>
      </w:pPr>
      <w:r>
        <w:rPr>
          <w:b/>
          <w:bCs/>
        </w:rPr>
        <w:t xml:space="preserve">Timeline Litigasi:</w:t>
      </w:r>
      <w:r>
        <w:t xml:space="preserve"> </w:t>
      </w:r>
      <w:r>
        <w:t xml:space="preserve">-</w:t>
      </w:r>
      <w:r>
        <w:t xml:space="preserve"> </w:t>
      </w:r>
      <w:r>
        <w:rPr>
          <w:b/>
          <w:bCs/>
        </w:rPr>
        <w:t xml:space="preserve">2013:</w:t>
      </w:r>
      <w:r>
        <w:t xml:space="preserve"> </w:t>
      </w:r>
      <w:r>
        <w:t xml:space="preserve">Gugatan diajukan di District Court of The Hague</w:t>
      </w:r>
      <w:r>
        <w:t xml:space="preserve"> </w:t>
      </w:r>
      <w:r>
        <w:t xml:space="preserve">-</w:t>
      </w:r>
      <w:r>
        <w:t xml:space="preserve"> </w:t>
      </w:r>
      <w:r>
        <w:rPr>
          <w:b/>
          <w:bCs/>
        </w:rPr>
        <w:t xml:space="preserve">24 Juni 2015:</w:t>
      </w:r>
      <w:r>
        <w:t xml:space="preserve"> </w:t>
      </w:r>
      <w:r>
        <w:t xml:space="preserve">Pengadilan Negeri memenangkan gugatan Urgenda</w:t>
      </w:r>
      <w:r>
        <w:t xml:space="preserve"> </w:t>
      </w:r>
      <w:r>
        <w:t xml:space="preserve">-</w:t>
      </w:r>
      <w:r>
        <w:t xml:space="preserve"> </w:t>
      </w:r>
      <w:r>
        <w:rPr>
          <w:b/>
          <w:bCs/>
        </w:rPr>
        <w:t xml:space="preserve">9 Oktober 2018:</w:t>
      </w:r>
      <w:r>
        <w:t xml:space="preserve"> </w:t>
      </w:r>
      <w:r>
        <w:t xml:space="preserve">Court of Appeal menguatkan putusan</w:t>
      </w:r>
      <w:r>
        <w:t xml:space="preserve"> </w:t>
      </w:r>
      <w:r>
        <w:t xml:space="preserve">-</w:t>
      </w:r>
      <w:r>
        <w:t xml:space="preserve"> </w:t>
      </w:r>
      <w:r>
        <w:rPr>
          <w:b/>
          <w:bCs/>
        </w:rPr>
        <w:t xml:space="preserve">20 Desember 2019:</w:t>
      </w:r>
      <w:r>
        <w:t xml:space="preserve"> </w:t>
      </w:r>
      <w:r>
        <w:t xml:space="preserve">Mahkamah Agung Belanda (Hoge Raad) memutuskan akhir, menolak kasasi pemerintah</w:t>
      </w:r>
    </w:p>
    <w:p>
      <w:pPr>
        <w:pStyle w:val="BodyText"/>
      </w:pPr>
      <w:r>
        <w:rPr>
          <w:b/>
          <w:bCs/>
        </w:rPr>
        <w:t xml:space="preserve">Dasar Gugatan:</w:t>
      </w:r>
      <w:r>
        <w:t xml:space="preserve"> </w:t>
      </w:r>
      <w:r>
        <w:t xml:space="preserve">1.</w:t>
      </w:r>
      <w:r>
        <w:t xml:space="preserve"> </w:t>
      </w:r>
      <w:r>
        <w:rPr>
          <w:b/>
          <w:bCs/>
        </w:rPr>
        <w:t xml:space="preserve">Tort Law:</w:t>
      </w:r>
      <w:r>
        <w:t xml:space="preserve"> </w:t>
      </w:r>
      <w:r>
        <w:t xml:space="preserve">Perbuatan melawan hukum (onrechtmatige daad) berdasarkan Pasal 6:162 Dutch Civil Code</w:t>
      </w:r>
      <w:r>
        <w:t xml:space="preserve"> </w:t>
      </w:r>
      <w:r>
        <w:t xml:space="preserve">2.</w:t>
      </w:r>
      <w:r>
        <w:t xml:space="preserve"> </w:t>
      </w:r>
      <w:r>
        <w:rPr>
          <w:b/>
          <w:bCs/>
        </w:rPr>
        <w:t xml:space="preserve">Hak Asasi Manusia:</w:t>
      </w:r>
      <w:r>
        <w:t xml:space="preserve"> </w:t>
      </w:r>
      <w:r>
        <w:t xml:space="preserve">- Pasal 2 ECHR (European Convention on Human Rights) — hak atas kehidupan</w:t>
      </w:r>
      <w:r>
        <w:t xml:space="preserve"> </w:t>
      </w:r>
      <w:r>
        <w:t xml:space="preserve">- Pasal 8 ECHR — hak atas kehidupan pribadi dan keluarga, yang mencakup hak atas lingkungan yang aman</w:t>
      </w:r>
      <w:r>
        <w:t xml:space="preserve"> </w:t>
      </w:r>
      <w:r>
        <w:t xml:space="preserve">3.</w:t>
      </w:r>
      <w:r>
        <w:t xml:space="preserve"> </w:t>
      </w:r>
      <w:r>
        <w:rPr>
          <w:b/>
          <w:bCs/>
        </w:rPr>
        <w:t xml:space="preserve">Prinsip Kehati-hatian (Precautionary Principle)</w:t>
      </w:r>
      <w:r>
        <w:t xml:space="preserve"> </w:t>
      </w:r>
      <w:r>
        <w:t xml:space="preserve">dalam hukum lingkungan internasional</w:t>
      </w:r>
      <w:r>
        <w:t xml:space="preserve"> </w:t>
      </w:r>
      <w:r>
        <w:t xml:space="preserve">4.</w:t>
      </w:r>
      <w:r>
        <w:t xml:space="preserve"> </w:t>
      </w:r>
      <w:r>
        <w:rPr>
          <w:b/>
          <w:bCs/>
        </w:rPr>
        <w:t xml:space="preserve">Konsensus Ilmiah:</w:t>
      </w:r>
      <w:r>
        <w:t xml:space="preserve"> </w:t>
      </w:r>
      <w:r>
        <w:t xml:space="preserve">Target pengurangan emisi berdasarkan laporan IPCC</w:t>
      </w:r>
    </w:p>
    <w:p>
      <w:pPr>
        <w:pStyle w:val="BodyText"/>
      </w:pPr>
      <w:r>
        <w:rPr>
          <w:b/>
          <w:bCs/>
        </w:rPr>
        <w:t xml:space="preserve">Tuntutan:</w:t>
      </w:r>
      <w:r>
        <w:t xml:space="preserve"> </w:t>
      </w:r>
      <w:r>
        <w:t xml:space="preserve">Urgenda meminta pengadilan memerintahkan pemerintah Belanda untuk mengurangi emisi gas rumah kaca sebesar</w:t>
      </w:r>
      <w:r>
        <w:t xml:space="preserve"> </w:t>
      </w:r>
      <w:r>
        <w:rPr>
          <w:b/>
          <w:bCs/>
        </w:rPr>
        <w:t xml:space="preserve">25-40% pada 2020</w:t>
      </w:r>
      <w:r>
        <w:t xml:space="preserve"> </w:t>
      </w:r>
      <w:r>
        <w:t xml:space="preserve">(dibandingkan level 1990), sesuai dengan rekomendasi IPCC untuk negara maju.</w:t>
      </w:r>
    </w:p>
    <w:p>
      <w:pPr>
        <w:pStyle w:val="BodyText"/>
      </w:pPr>
      <w:r>
        <w:rPr>
          <w:b/>
          <w:bCs/>
        </w:rPr>
        <w:t xml:space="preserve">Putusan Mahkamah Agung (20 Desember 2019):</w:t>
      </w:r>
      <w:r>
        <w:t xml:space="preserve"> </w:t>
      </w:r>
      <w:r>
        <w:t xml:space="preserve">Mahkamah Agung menguatkan putusan pengadilan tingkat bawah, dengan pertimbangan kunci:</w:t>
      </w:r>
      <w:r>
        <w:t xml:space="preserve"> </w:t>
      </w:r>
      <w:r>
        <w:t xml:space="preserve">1.</w:t>
      </w:r>
      <w:r>
        <w:t xml:space="preserve"> </w:t>
      </w:r>
      <w:r>
        <w:rPr>
          <w:b/>
          <w:bCs/>
        </w:rPr>
        <w:t xml:space="preserve">Kewajiban Duty of Care:</w:t>
      </w:r>
      <w:r>
        <w:t xml:space="preserve"> </w:t>
      </w:r>
      <w:r>
        <w:t xml:space="preserve">Pemerintah memiliki kewajiban hukum untuk melindungi warga negara dari bahaya perubahan iklim yang dapat diprediksi dan serius</w:t>
      </w:r>
      <w:r>
        <w:t xml:space="preserve"> </w:t>
      </w:r>
      <w:r>
        <w:t xml:space="preserve">2.</w:t>
      </w:r>
      <w:r>
        <w:t xml:space="preserve"> </w:t>
      </w:r>
      <w:r>
        <w:rPr>
          <w:b/>
          <w:bCs/>
        </w:rPr>
        <w:t xml:space="preserve">Hak Asasi Manusia:</w:t>
      </w:r>
      <w:r>
        <w:t xml:space="preserve"> </w:t>
      </w:r>
      <w:r>
        <w:t xml:space="preserve">Kegagalan mengurangi emisi merupakan pelanggaran terhadap hak-hak yang dilindungi ECHR (Pasal 2 dan 8)</w:t>
      </w:r>
      <w:r>
        <w:t xml:space="preserve"> </w:t>
      </w:r>
      <w:r>
        <w:t xml:space="preserve">3.</w:t>
      </w:r>
      <w:r>
        <w:t xml:space="preserve"> </w:t>
      </w:r>
      <w:r>
        <w:rPr>
          <w:b/>
          <w:bCs/>
        </w:rPr>
        <w:t xml:space="preserve">Kewajiban Positif Negara:</w:t>
      </w:r>
      <w:r>
        <w:t xml:space="preserve"> </w:t>
      </w:r>
      <w:r>
        <w:t xml:space="preserve">Berdasarkan ECHR, negara tidak hanya wajib menahan diri dari pelanggaran HAM, tetapi juga harus mengambil tindakan positif untuk melindungi HAM warga dari ancaman, termasuk perubahan iklim</w:t>
      </w:r>
      <w:r>
        <w:t xml:space="preserve"> </w:t>
      </w:r>
      <w:r>
        <w:t xml:space="preserve">4.</w:t>
      </w:r>
      <w:r>
        <w:t xml:space="preserve"> </w:t>
      </w:r>
      <w:r>
        <w:rPr>
          <w:b/>
          <w:bCs/>
        </w:rPr>
        <w:t xml:space="preserve">Standar Pengurangan 25%:</w:t>
      </w:r>
      <w:r>
        <w:t xml:space="preserve"> </w:t>
      </w:r>
      <w:r>
        <w:t xml:space="preserve">Mahkamah menetapkan bahwa Belanda harus mengurangi emisi minimal 25% pada 2020 (dibandingkan 1990), berdasarkan konsensus ilmiah IPCC dan prinsip kehati-hatian</w:t>
      </w:r>
    </w:p>
    <w:p>
      <w:pPr>
        <w:pStyle w:val="BodyText"/>
      </w:pPr>
      <w:r>
        <w:rPr>
          <w:b/>
          <w:bCs/>
        </w:rPr>
        <w:t xml:space="preserve">Signifikansi Hukum:</w:t>
      </w:r>
      <w:r>
        <w:t xml:space="preserve"> </w:t>
      </w:r>
      <w:r>
        <w:t xml:space="preserve">-</w:t>
      </w:r>
      <w:r>
        <w:t xml:space="preserve"> </w:t>
      </w:r>
      <w:r>
        <w:rPr>
          <w:b/>
          <w:bCs/>
        </w:rPr>
        <w:t xml:space="preserve">Kasus litigasi iklim pertama di dunia</w:t>
      </w:r>
      <w:r>
        <w:t xml:space="preserve"> </w:t>
      </w:r>
      <w:r>
        <w:t xml:space="preserve">yang berhasil mewajibkan pemerintah mengurangi emisi berdasarkan pendekatan</w:t>
      </w:r>
      <w:r>
        <w:t xml:space="preserve"> </w:t>
      </w:r>
      <w:r>
        <w:rPr>
          <w:b/>
          <w:bCs/>
        </w:rPr>
        <w:t xml:space="preserve">hak asasi manusia</w:t>
      </w:r>
      <w:r>
        <w:t xml:space="preserve"> </w:t>
      </w:r>
      <w:r>
        <w:t xml:space="preserve">- Menetapkan bahwa</w:t>
      </w:r>
      <w:r>
        <w:t xml:space="preserve"> </w:t>
      </w:r>
      <w:r>
        <w:rPr>
          <w:b/>
          <w:bCs/>
        </w:rPr>
        <w:t xml:space="preserve">tort law</w:t>
      </w:r>
      <w:r>
        <w:t xml:space="preserve"> </w:t>
      </w:r>
      <w:r>
        <w:t xml:space="preserve">dapat digunakan untuk menuntut negara atas kelalaian perlindungan iklim</w:t>
      </w:r>
      <w:r>
        <w:t xml:space="preserve"> </w:t>
      </w:r>
      <w:r>
        <w:t xml:space="preserve">- Membuktikan bahwa pengadilan dapat memerintahkan tindakan konkret kepada pemerintah tanpa melanggar</w:t>
      </w:r>
      <w:r>
        <w:t xml:space="preserve"> </w:t>
      </w:r>
      <w:r>
        <w:rPr>
          <w:b/>
          <w:bCs/>
        </w:rPr>
        <w:t xml:space="preserve">separation of powers</w:t>
      </w:r>
      <w:r>
        <w:t xml:space="preserve"> </w:t>
      </w:r>
      <w:r>
        <w:t xml:space="preserve">(pemisahan kekuasaan)</w:t>
      </w:r>
      <w:r>
        <w:t xml:space="preserve"> </w:t>
      </w:r>
      <w:r>
        <w:t xml:space="preserve">- Menjadi inspirasi bagi lebih dari 20 gugatan serupa di berbagai negara (Prancis, Jerman, Irlandia, Korea Selatan, dll.)</w:t>
      </w:r>
    </w:p>
    <w:p>
      <w:pPr>
        <w:pStyle w:val="BodyText"/>
      </w:pPr>
      <w:r>
        <w:rPr>
          <w:b/>
          <w:bCs/>
        </w:rPr>
        <w:t xml:space="preserve">Implementasi:</w:t>
      </w:r>
      <w:r>
        <w:t xml:space="preserve"> </w:t>
      </w:r>
      <w:r>
        <w:t xml:space="preserve">Setelah putusan Mahkamah Agung, pemerintah Belanda mempercepat kebijakan pengurangan emisi, termasuk penutupan PLTU batu bara dan insentif energi terbarukan. Belanda berhasil mencapai target 25% pada 2020.</w:t>
      </w:r>
    </w:p>
    <w:p>
      <w:pPr>
        <w:pStyle w:val="BodyText"/>
      </w:pPr>
      <w:r>
        <w:rPr>
          <w:b/>
          <w:bCs/>
        </w:rPr>
        <w:t xml:space="preserve">Sumber:</w:t>
      </w:r>
      <w:r>
        <w:t xml:space="preserve"> </w:t>
      </w:r>
      <w:r>
        <w:t xml:space="preserve">-</w:t>
      </w:r>
      <w:r>
        <w:t xml:space="preserve"> </w:t>
      </w:r>
      <w:hyperlink r:id="rId23">
        <w:r>
          <w:rPr>
            <w:rStyle w:val="Hyperlink"/>
          </w:rPr>
          <w:t xml:space="preserve">Urgenda Foundation: Climate Case</w:t>
        </w:r>
      </w:hyperlink>
      <w:r>
        <w:t xml:space="preserve"> </w:t>
      </w:r>
      <w:r>
        <w:t xml:space="preserve">-</w:t>
      </w:r>
      <w:r>
        <w:t xml:space="preserve"> </w:t>
      </w:r>
      <w:hyperlink r:id="rId24">
        <w:r>
          <w:rPr>
            <w:rStyle w:val="Hyperlink"/>
          </w:rPr>
          <w:t xml:space="preserve">Wikipedia: Urgenda Foundation v State of the Netherlands</w:t>
        </w:r>
      </w:hyperlink>
      <w:r>
        <w:t xml:space="preserve"> </w:t>
      </w:r>
      <w:r>
        <w:t xml:space="preserve">-</w:t>
      </w:r>
      <w:r>
        <w:t xml:space="preserve"> </w:t>
      </w:r>
      <w:hyperlink r:id="rId25">
        <w:r>
          <w:rPr>
            <w:rStyle w:val="Hyperlink"/>
          </w:rPr>
          <w:t xml:space="preserve">ELAW: Urgenda Foundation v. The State of the Netherlands</w:t>
        </w:r>
      </w:hyperlink>
    </w:p>
    <w:p>
      <w:r>
        <w:pict>
          <v:rect style="width:0;height:1.5pt" o:hralign="center" o:hrstd="t" o:hr="t"/>
        </w:pict>
      </w:r>
    </w:p>
    <w:bookmarkEnd w:id="26"/>
    <w:bookmarkStart w:id="30" w:name="neubauer-et-al.-v.-germany-2021"/>
    <w:p>
      <w:pPr>
        <w:pStyle w:val="Heading4"/>
      </w:pPr>
      <w:r>
        <w:t xml:space="preserve">2.2 Neubauer et al. v. Germany (2021)</w:t>
      </w:r>
    </w:p>
    <w:p>
      <w:pPr>
        <w:pStyle w:val="FirstParagraph"/>
      </w:pPr>
      <w:r>
        <w:rPr>
          <w:b/>
          <w:bCs/>
        </w:rPr>
        <w:t xml:space="preserve">Forum:</w:t>
      </w:r>
      <w:r>
        <w:t xml:space="preserve"> </w:t>
      </w:r>
      <w:r>
        <w:t xml:space="preserve">Bundesverfassungsgericht (Mahkamah Konstitusi Jerman)</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Kelompok pemuda Jerman (termasuk aktivis Fridays for Future), didukung oleh beberapa LSM lingkungan (BUND, Greenpeace, dll.)</w:t>
      </w:r>
      <w:r>
        <w:t xml:space="preserve"> </w:t>
      </w:r>
      <w:r>
        <w:t xml:space="preserve">-</w:t>
      </w:r>
      <w:r>
        <w:t xml:space="preserve"> </w:t>
      </w:r>
      <w:r>
        <w:rPr>
          <w:b/>
          <w:bCs/>
        </w:rPr>
        <w:t xml:space="preserve">Tergugat:</w:t>
      </w:r>
      <w:r>
        <w:t xml:space="preserve"> </w:t>
      </w:r>
      <w:r>
        <w:t xml:space="preserve">Federal Republic of Germany (Pemerintah Federal Jerman)</w:t>
      </w:r>
    </w:p>
    <w:p>
      <w:pPr>
        <w:pStyle w:val="BodyText"/>
      </w:pPr>
      <w:r>
        <w:rPr>
          <w:b/>
          <w:bCs/>
        </w:rPr>
        <w:t xml:space="preserve">Latar Belakang:</w:t>
      </w:r>
      <w:r>
        <w:t xml:space="preserve"> </w:t>
      </w:r>
      <w:r>
        <w:t xml:space="preserve">Pada Februari 2020, kelompok pemuda Jerman mengajukan gugatan konstitusional terhadap</w:t>
      </w:r>
      <w:r>
        <w:t xml:space="preserve"> </w:t>
      </w:r>
      <w:r>
        <w:rPr>
          <w:b/>
          <w:bCs/>
        </w:rPr>
        <w:t xml:space="preserve">Federal Climate Protection Act (Bundesklimaschutzgesetz / KSG) 2019</w:t>
      </w:r>
      <w:r>
        <w:t xml:space="preserve">. Mereka berargumen bahwa UU ini tidak memadai karena hanya menetapkan target pengurangan emisi GRK sebesar 55% hingga 2030 (dibandingkan level 1990), tanpa target jelas untuk periode setelah 2030.</w:t>
      </w:r>
    </w:p>
    <w:p>
      <w:pPr>
        <w:pStyle w:val="BodyText"/>
      </w:pPr>
      <w:r>
        <w:rPr>
          <w:b/>
          <w:bCs/>
        </w:rPr>
        <w:t xml:space="preserve">Argumen Penggugat:</w:t>
      </w:r>
      <w:r>
        <w:t xml:space="preserve"> </w:t>
      </w:r>
      <w:r>
        <w:t xml:space="preserve">1.</w:t>
      </w:r>
      <w:r>
        <w:t xml:space="preserve"> </w:t>
      </w:r>
      <w:r>
        <w:rPr>
          <w:b/>
          <w:bCs/>
        </w:rPr>
        <w:t xml:space="preserve">Pelanggaran Hak Konstitusional:</w:t>
      </w:r>
      <w:r>
        <w:t xml:space="preserve"> </w:t>
      </w:r>
      <w:r>
        <w:t xml:space="preserve">KSG melanggar hak-hak fundamental yang dijamin Grundgesetz (Konstitusi Jerman), khususnya:</w:t>
      </w:r>
      <w:r>
        <w:t xml:space="preserve"> </w:t>
      </w:r>
      <w:r>
        <w:t xml:space="preserve">- Pasal 20a: Kewajiban negara melindungi lingkungan dan sumber daya alam untuk generasi mendatang</w:t>
      </w:r>
      <w:r>
        <w:t xml:space="preserve"> </w:t>
      </w:r>
      <w:r>
        <w:t xml:space="preserve">- Pasal 2: Hak atas kebebasan dan pengembangan kepribadian</w:t>
      </w:r>
      <w:r>
        <w:t xml:space="preserve"> </w:t>
      </w:r>
      <w:r>
        <w:t xml:space="preserve">2.</w:t>
      </w:r>
      <w:r>
        <w:t xml:space="preserve"> </w:t>
      </w:r>
      <w:r>
        <w:rPr>
          <w:b/>
          <w:bCs/>
        </w:rPr>
        <w:t xml:space="preserve">Ketidakadilan Antargenerasi (Intergenerational Inequity):</w:t>
      </w:r>
      <w:r>
        <w:t xml:space="preserve"> </w:t>
      </w:r>
      <w:r>
        <w:t xml:space="preserve">Target yang terlalu longgar di periode 2020-2030 akan membebankan beban pengurangan emisi yang tidak proporsional kepada generasi muda setelah 2030</w:t>
      </w:r>
      <w:r>
        <w:t xml:space="preserve"> </w:t>
      </w:r>
      <w:r>
        <w:t xml:space="preserve">3.</w:t>
      </w:r>
      <w:r>
        <w:t xml:space="preserve"> </w:t>
      </w:r>
      <w:r>
        <w:rPr>
          <w:b/>
          <w:bCs/>
        </w:rPr>
        <w:t xml:space="preserve">Carbon Budget:</w:t>
      </w:r>
      <w:r>
        <w:t xml:space="preserve"> </w:t>
      </w:r>
      <w:r>
        <w:t xml:space="preserve">UU tidak mempertimbangkan alokasi carbon budget yang adil antar generasi</w:t>
      </w:r>
    </w:p>
    <w:p>
      <w:pPr>
        <w:pStyle w:val="BodyText"/>
      </w:pPr>
      <w:r>
        <w:rPr>
          <w:b/>
          <w:bCs/>
        </w:rPr>
        <w:t xml:space="preserve">Putusan Mahkamah Konstitusi (29 April 2021):</w:t>
      </w:r>
      <w:r>
        <w:t xml:space="preserve"> </w:t>
      </w:r>
      <w:r>
        <w:t xml:space="preserve">Mahkamah Konstitusi</w:t>
      </w:r>
      <w:r>
        <w:t xml:space="preserve"> </w:t>
      </w:r>
      <w:r>
        <w:rPr>
          <w:b/>
          <w:bCs/>
        </w:rPr>
        <w:t xml:space="preserve">mengabulkan gugatan</w:t>
      </w:r>
      <w:r>
        <w:t xml:space="preserve"> </w:t>
      </w:r>
      <w:r>
        <w:t xml:space="preserve">dan menyatakan bahwa Pasal 3 dan 4 KSG</w:t>
      </w:r>
      <w:r>
        <w:t xml:space="preserve"> </w:t>
      </w:r>
      <w:r>
        <w:rPr>
          <w:b/>
          <w:bCs/>
        </w:rPr>
        <w:t xml:space="preserve">inkonstitusional sepanjang</w:t>
      </w:r>
      <w:r>
        <w:t xml:space="preserve"> </w:t>
      </w:r>
      <w:r>
        <w:t xml:space="preserve">tidak ada target pengurangan yang jelas untuk periode pasca-2030.</w:t>
      </w:r>
    </w:p>
    <w:p>
      <w:pPr>
        <w:pStyle w:val="BodyText"/>
      </w:pPr>
      <w:r>
        <w:rPr>
          <w:b/>
          <w:bCs/>
        </w:rPr>
        <w:t xml:space="preserve">Pertimbangan Hukum Kunci:</w:t>
      </w:r>
      <w:r>
        <w:t xml:space="preserve"> </w:t>
      </w:r>
      <w:r>
        <w:t xml:space="preserve">1.</w:t>
      </w:r>
      <w:r>
        <w:t xml:space="preserve"> </w:t>
      </w:r>
      <w:r>
        <w:rPr>
          <w:b/>
          <w:bCs/>
        </w:rPr>
        <w:t xml:space="preserve">Intergenerational Justice (Keadilan Antargenerasi):</w:t>
      </w:r>
      <w:r>
        <w:t xml:space="preserve"> </w:t>
      </w:r>
      <w:r>
        <w:t xml:space="preserve">&gt;</w:t>
      </w:r>
      <w:r>
        <w:t xml:space="preserve"> </w:t>
      </w:r>
      <w:r>
        <w:t xml:space="preserve">“Satu generasi tidak boleh mengonsumsi sebagian besar carbon budget sambil menanggung bagian kecil dari upaya pengurangan, jika hal ini berarti meninggalkan generasi selanjutnya dengan beban pengurangan yang drastis dan membuat kehidupan mereka mengalami kehilangan kebebasan yang serius.”</w:t>
      </w:r>
    </w:p>
    <w:p>
      <w:pPr>
        <w:numPr>
          <w:ilvl w:val="0"/>
          <w:numId w:val="1001"/>
        </w:numPr>
      </w:pPr>
      <w:r>
        <w:rPr>
          <w:b/>
          <w:bCs/>
        </w:rPr>
        <w:t xml:space="preserve">Perlindungan Hak Dasar di Masa Depan:</w:t>
      </w:r>
      <w:r>
        <w:t xml:space="preserve"> </w:t>
      </w:r>
      <w:r>
        <w:t xml:space="preserve">Konstitusi tidak hanya melindungi hak saat ini, tetapi juga hak di masa depan. Negara harus memastikan bahwa tindakan hari ini tidak mengorbankan kebebasan generasi mendatang secara tidak proporsional.</w:t>
      </w:r>
    </w:p>
    <w:p>
      <w:pPr>
        <w:numPr>
          <w:ilvl w:val="0"/>
          <w:numId w:val="1001"/>
        </w:numPr>
      </w:pPr>
      <w:r>
        <w:rPr>
          <w:b/>
          <w:bCs/>
        </w:rPr>
        <w:t xml:space="preserve">Kewajiban Positif:</w:t>
      </w:r>
      <w:r>
        <w:t xml:space="preserve"> </w:t>
      </w:r>
      <w:r>
        <w:t xml:space="preserve">Pasal 20a Grundgesetz menciptakan kewajiban positif bagi negara untuk melindungi iklim, bukan hanya larangan negatif.</w:t>
      </w:r>
    </w:p>
    <w:p>
      <w:pPr>
        <w:numPr>
          <w:ilvl w:val="0"/>
          <w:numId w:val="1001"/>
        </w:numPr>
      </w:pPr>
      <w:r>
        <w:rPr>
          <w:b/>
          <w:bCs/>
        </w:rPr>
        <w:t xml:space="preserve">Proporsionalitas Intertemporal:</w:t>
      </w:r>
      <w:r>
        <w:t xml:space="preserve"> </w:t>
      </w:r>
      <w:r>
        <w:t xml:space="preserve">Pembagian beban pengurangan emisi harus proporsional antar waktu dan generasi, sesuai dengan prinsip keadilan distributif.</w:t>
      </w:r>
    </w:p>
    <w:p>
      <w:pPr>
        <w:pStyle w:val="FirstParagraph"/>
      </w:pPr>
      <w:r>
        <w:rPr>
          <w:b/>
          <w:bCs/>
        </w:rPr>
        <w:t xml:space="preserve">Dampak:</w:t>
      </w:r>
      <w:r>
        <w:t xml:space="preserve"> </w:t>
      </w:r>
      <w:r>
        <w:t xml:space="preserve">Putusan ini memaksa pemerintah Jerman merevisi KSG. Pada</w:t>
      </w:r>
      <w:r>
        <w:t xml:space="preserve"> </w:t>
      </w:r>
      <w:r>
        <w:rPr>
          <w:b/>
          <w:bCs/>
        </w:rPr>
        <w:t xml:space="preserve">Mei 2021</w:t>
      </w:r>
      <w:r>
        <w:t xml:space="preserve">, pemerintah Jerman mengeluarkan</w:t>
      </w:r>
      <w:r>
        <w:t xml:space="preserve"> </w:t>
      </w:r>
      <w:r>
        <w:rPr>
          <w:b/>
          <w:bCs/>
        </w:rPr>
        <w:t xml:space="preserve">Amandemen KSG</w:t>
      </w:r>
      <w:r>
        <w:t xml:space="preserve"> </w:t>
      </w:r>
      <w:r>
        <w:t xml:space="preserve">yang:</w:t>
      </w:r>
      <w:r>
        <w:t xml:space="preserve"> </w:t>
      </w:r>
      <w:r>
        <w:t xml:space="preserve">- Menaikkan target 2030 menjadi</w:t>
      </w:r>
      <w:r>
        <w:t xml:space="preserve"> </w:t>
      </w:r>
      <w:r>
        <w:rPr>
          <w:b/>
          <w:bCs/>
        </w:rPr>
        <w:t xml:space="preserve">65%</w:t>
      </w:r>
      <w:r>
        <w:t xml:space="preserve"> </w:t>
      </w:r>
      <w:r>
        <w:t xml:space="preserve">(dari 55%)</w:t>
      </w:r>
      <w:r>
        <w:t xml:space="preserve"> </w:t>
      </w:r>
      <w:r>
        <w:t xml:space="preserve">- Menetapkan target 2040:</w:t>
      </w:r>
      <w:r>
        <w:t xml:space="preserve"> </w:t>
      </w:r>
      <w:r>
        <w:rPr>
          <w:b/>
          <w:bCs/>
        </w:rPr>
        <w:t xml:space="preserve">88%</w:t>
      </w:r>
      <w:r>
        <w:t xml:space="preserve"> </w:t>
      </w:r>
      <w:r>
        <w:t xml:space="preserve">- Mempercepat target net-zero dari</w:t>
      </w:r>
      <w:r>
        <w:t xml:space="preserve"> </w:t>
      </w:r>
      <w:r>
        <w:rPr>
          <w:b/>
          <w:bCs/>
        </w:rPr>
        <w:t xml:space="preserve">2050</w:t>
      </w:r>
      <w:r>
        <w:t xml:space="preserve"> </w:t>
      </w:r>
      <w:r>
        <w:t xml:space="preserve">menjadi</w:t>
      </w:r>
      <w:r>
        <w:t xml:space="preserve"> </w:t>
      </w:r>
      <w:r>
        <w:rPr>
          <w:b/>
          <w:bCs/>
        </w:rPr>
        <w:t xml:space="preserve">2045</w:t>
      </w:r>
      <w:r>
        <w:t xml:space="preserve"> </w:t>
      </w:r>
      <w:r>
        <w:t xml:space="preserve">- Menetapkan target sektoral yang lebih ambisius (energi, transportasi, industri, bangunan, pertanian)</w:t>
      </w:r>
    </w:p>
    <w:p>
      <w:pPr>
        <w:pStyle w:val="BodyText"/>
      </w:pPr>
      <w:r>
        <w:rPr>
          <w:b/>
          <w:bCs/>
        </w:rPr>
        <w:t xml:space="preserve">Signifikansi Hukum:</w:t>
      </w:r>
      <w:r>
        <w:t xml:space="preserve"> </w:t>
      </w:r>
      <w:r>
        <w:t xml:space="preserve">-</w:t>
      </w:r>
      <w:r>
        <w:t xml:space="preserve"> </w:t>
      </w:r>
      <w:r>
        <w:rPr>
          <w:b/>
          <w:bCs/>
        </w:rPr>
        <w:t xml:space="preserve">Pertama kali</w:t>
      </w:r>
      <w:r>
        <w:t xml:space="preserve"> </w:t>
      </w:r>
      <w:r>
        <w:t xml:space="preserve">mahkamah konstitusional menyatakan UU iklim inkonstitusional atas dasar</w:t>
      </w:r>
      <w:r>
        <w:t xml:space="preserve"> </w:t>
      </w:r>
      <w:r>
        <w:rPr>
          <w:b/>
          <w:bCs/>
        </w:rPr>
        <w:t xml:space="preserve">ketidakadilan antargenerasi</w:t>
      </w:r>
      <w:r>
        <w:t xml:space="preserve"> </w:t>
      </w:r>
      <w:r>
        <w:t xml:space="preserve">- Mengukuhkan</w:t>
      </w:r>
      <w:r>
        <w:t xml:space="preserve"> </w:t>
      </w:r>
      <w:r>
        <w:rPr>
          <w:b/>
          <w:bCs/>
        </w:rPr>
        <w:t xml:space="preserve">intergenerational equity</w:t>
      </w:r>
      <w:r>
        <w:t xml:space="preserve"> </w:t>
      </w:r>
      <w:r>
        <w:t xml:space="preserve">sebagai prinsip hukum yang dapat ditegakkan (justiciable)</w:t>
      </w:r>
      <w:r>
        <w:t xml:space="preserve"> </w:t>
      </w:r>
      <w:r>
        <w:t xml:space="preserve">- Menetapkan bahwa</w:t>
      </w:r>
      <w:r>
        <w:t xml:space="preserve"> </w:t>
      </w:r>
      <w:r>
        <w:rPr>
          <w:b/>
          <w:bCs/>
        </w:rPr>
        <w:t xml:space="preserve">hak generasi mendatang</w:t>
      </w:r>
      <w:r>
        <w:t xml:space="preserve"> </w:t>
      </w:r>
      <w:r>
        <w:t xml:space="preserve">dilindungi oleh konstitusi dan dapat dijadikan dasar gugatan hukum</w:t>
      </w:r>
      <w:r>
        <w:t xml:space="preserve"> </w:t>
      </w:r>
      <w:r>
        <w:t xml:space="preserve">- Memberi preseden global tentang</w:t>
      </w:r>
      <w:r>
        <w:t xml:space="preserve"> </w:t>
      </w:r>
      <w:r>
        <w:rPr>
          <w:b/>
          <w:bCs/>
        </w:rPr>
        <w:t xml:space="preserve">constitutional climate litigation</w:t>
      </w:r>
      <w:r>
        <w:t xml:space="preserve"> </w:t>
      </w:r>
      <w:r>
        <w:t xml:space="preserve">berbasis hak antargenerasi</w:t>
      </w:r>
    </w:p>
    <w:p>
      <w:pPr>
        <w:pStyle w:val="BodyText"/>
      </w:pPr>
      <w:r>
        <w:rPr>
          <w:b/>
          <w:bCs/>
        </w:rPr>
        <w:t xml:space="preserve">Pengaruh Internasional:</w:t>
      </w:r>
      <w:r>
        <w:t xml:space="preserve"> </w:t>
      </w:r>
      <w:r>
        <w:t xml:space="preserve">Putusan ini menginspirasi gugatan serupa di berbagai negara, termasuk:</w:t>
      </w:r>
      <w:r>
        <w:t xml:space="preserve"> </w:t>
      </w:r>
      <w:r>
        <w:t xml:space="preserve">-</w:t>
      </w:r>
      <w:r>
        <w:t xml:space="preserve"> </w:t>
      </w:r>
      <w:r>
        <w:rPr>
          <w:b/>
          <w:bCs/>
        </w:rPr>
        <w:t xml:space="preserve">Prancis:</w:t>
      </w:r>
      <w:r>
        <w:t xml:space="preserve"> </w:t>
      </w:r>
      <w:r>
        <w:t xml:space="preserve">L’Affaire du Siècle (Greenpeace v. France)</w:t>
      </w:r>
      <w:r>
        <w:t xml:space="preserve"> </w:t>
      </w:r>
      <w:r>
        <w:t xml:space="preserve">-</w:t>
      </w:r>
      <w:r>
        <w:t xml:space="preserve"> </w:t>
      </w:r>
      <w:r>
        <w:rPr>
          <w:b/>
          <w:bCs/>
        </w:rPr>
        <w:t xml:space="preserve">Korea Selatan:</w:t>
      </w:r>
      <w:r>
        <w:t xml:space="preserve"> </w:t>
      </w:r>
      <w:r>
        <w:t xml:space="preserve">Youth Climate Case (meminta Mahkamah Konstitusi Korea menilai UU iklim)</w:t>
      </w:r>
      <w:r>
        <w:t xml:space="preserve"> </w:t>
      </w:r>
      <w:r>
        <w:t xml:space="preserve">-</w:t>
      </w:r>
      <w:r>
        <w:t xml:space="preserve"> </w:t>
      </w:r>
      <w:r>
        <w:rPr>
          <w:b/>
          <w:bCs/>
        </w:rPr>
        <w:t xml:space="preserve">Brasil:</w:t>
      </w:r>
      <w:r>
        <w:t xml:space="preserve"> </w:t>
      </w:r>
      <w:r>
        <w:t xml:space="preserve">Gugatan pemuda terhadap target NDC Brasil</w:t>
      </w:r>
    </w:p>
    <w:p>
      <w:pPr>
        <w:pStyle w:val="BodyText"/>
      </w:pPr>
      <w:r>
        <w:rPr>
          <w:b/>
          <w:bCs/>
        </w:rPr>
        <w:t xml:space="preserve">Sumber:</w:t>
      </w:r>
      <w:r>
        <w:t xml:space="preserve"> </w:t>
      </w:r>
      <w:r>
        <w:t xml:space="preserve">-</w:t>
      </w:r>
      <w:r>
        <w:t xml:space="preserve"> </w:t>
      </w:r>
      <w:hyperlink r:id="rId27">
        <w:r>
          <w:rPr>
            <w:rStyle w:val="Hyperlink"/>
          </w:rPr>
          <w:t xml:space="preserve">Natural Justice: Neubauer et al. v. Germany</w:t>
        </w:r>
      </w:hyperlink>
      <w:r>
        <w:t xml:space="preserve"> </w:t>
      </w:r>
      <w:r>
        <w:t xml:space="preserve">-</w:t>
      </w:r>
      <w:r>
        <w:t xml:space="preserve"> </w:t>
      </w:r>
      <w:hyperlink r:id="rId28">
        <w:r>
          <w:rPr>
            <w:rStyle w:val="Hyperlink"/>
          </w:rPr>
          <w:t xml:space="preserve">CLX Toolkit: Neubauer v. Germany</w:t>
        </w:r>
      </w:hyperlink>
      <w:r>
        <w:t xml:space="preserve"> </w:t>
      </w:r>
      <w:r>
        <w:t xml:space="preserve">-</w:t>
      </w:r>
      <w:r>
        <w:t xml:space="preserve"> </w:t>
      </w:r>
      <w:hyperlink r:id="rId29">
        <w:r>
          <w:rPr>
            <w:rStyle w:val="Hyperlink"/>
          </w:rPr>
          <w:t xml:space="preserve">EJIL Talk: Sustainable Development made justiciable</w:t>
        </w:r>
      </w:hyperlink>
    </w:p>
    <w:p>
      <w:r>
        <w:pict>
          <v:rect style="width:0;height:1.5pt" o:hralign="center" o:hrstd="t" o:hr="t"/>
        </w:pict>
      </w:r>
    </w:p>
    <w:bookmarkEnd w:id="30"/>
    <w:bookmarkStart w:id="34" w:name="X77595280f48a6c7d06515bf561b0e11a30b74d2"/>
    <w:p>
      <w:pPr>
        <w:pStyle w:val="Heading4"/>
      </w:pPr>
      <w:r>
        <w:t xml:space="preserve">2.3 Milieudefensie et al. v. Royal Dutch Shell (2021/2024)</w:t>
      </w:r>
    </w:p>
    <w:p>
      <w:pPr>
        <w:pStyle w:val="FirstParagraph"/>
      </w:pPr>
      <w:r>
        <w:rPr>
          <w:b/>
          <w:bCs/>
        </w:rPr>
        <w:t xml:space="preserve">Forum:</w:t>
      </w:r>
      <w:r>
        <w:t xml:space="preserve"> </w:t>
      </w:r>
      <w:r>
        <w:t xml:space="preserve">-</w:t>
      </w:r>
      <w:r>
        <w:t xml:space="preserve"> </w:t>
      </w:r>
      <w:r>
        <w:rPr>
          <w:b/>
          <w:bCs/>
        </w:rPr>
        <w:t xml:space="preserve">Tingkat Pertama:</w:t>
      </w:r>
      <w:r>
        <w:t xml:space="preserve"> </w:t>
      </w:r>
      <w:r>
        <w:t xml:space="preserve">Rechtbank Den Haag (District Court of The Hague), 2021</w:t>
      </w:r>
      <w:r>
        <w:t xml:space="preserve"> </w:t>
      </w:r>
      <w:r>
        <w:t xml:space="preserve">-</w:t>
      </w:r>
      <w:r>
        <w:t xml:space="preserve"> </w:t>
      </w:r>
      <w:r>
        <w:rPr>
          <w:b/>
          <w:bCs/>
        </w:rPr>
        <w:t xml:space="preserve">Tingkat Banding:</w:t>
      </w:r>
      <w:r>
        <w:t xml:space="preserve"> </w:t>
      </w:r>
      <w:r>
        <w:t xml:space="preserve">Gerechtshof Den Haag (Court of Appeal of The Hague), 2024</w:t>
      </w:r>
      <w:r>
        <w:t xml:space="preserve"> </w:t>
      </w:r>
      <w:r>
        <w:t xml:space="preserve">-</w:t>
      </w:r>
      <w:r>
        <w:t xml:space="preserve"> </w:t>
      </w:r>
      <w:r>
        <w:rPr>
          <w:b/>
          <w:bCs/>
        </w:rPr>
        <w:t xml:space="preserve">Saat ini:</w:t>
      </w:r>
      <w:r>
        <w:t xml:space="preserve"> </w:t>
      </w:r>
      <w:r>
        <w:t xml:space="preserve">Kasasi diajukan ke Hoge Raad (Supreme Court), 2025</w:t>
      </w:r>
    </w:p>
    <w:p>
      <w:pPr>
        <w:pStyle w:val="BodyText"/>
      </w:pPr>
      <w:r>
        <w:rPr>
          <w:b/>
          <w:bCs/>
        </w:rPr>
        <w:t xml:space="preserve">Para Pihak:</w:t>
      </w:r>
      <w:r>
        <w:t xml:space="preserve"> </w:t>
      </w:r>
      <w:r>
        <w:t xml:space="preserve">-</w:t>
      </w:r>
      <w:r>
        <w:t xml:space="preserve"> </w:t>
      </w:r>
      <w:r>
        <w:rPr>
          <w:b/>
          <w:bCs/>
        </w:rPr>
        <w:t xml:space="preserve">Penggugat:</w:t>
      </w:r>
      <w:r>
        <w:t xml:space="preserve"> </w:t>
      </w:r>
      <w:r>
        <w:t xml:space="preserve">7 LSM (termasuk Milieudefensie/Friends of the Earth Netherlands, Greenpeace, Fossielvrij, ActionAid, dll.) dan 17.379 individu warga negara Belanda</w:t>
      </w:r>
      <w:r>
        <w:t xml:space="preserve"> </w:t>
      </w:r>
      <w:r>
        <w:t xml:space="preserve">-</w:t>
      </w:r>
      <w:r>
        <w:t xml:space="preserve"> </w:t>
      </w:r>
      <w:r>
        <w:rPr>
          <w:b/>
          <w:bCs/>
        </w:rPr>
        <w:t xml:space="preserve">Tergugat:</w:t>
      </w:r>
      <w:r>
        <w:t xml:space="preserve"> </w:t>
      </w:r>
      <w:r>
        <w:t xml:space="preserve">Royal Dutch Shell plc (korporasi minyak dan gas multinasional)</w:t>
      </w:r>
    </w:p>
    <w:p>
      <w:pPr>
        <w:pStyle w:val="BodyText"/>
      </w:pPr>
      <w:r>
        <w:rPr>
          <w:b/>
          <w:bCs/>
        </w:rPr>
        <w:t xml:space="preserve">Latar Belakang:</w:t>
      </w:r>
      <w:r>
        <w:t xml:space="preserve"> </w:t>
      </w:r>
      <w:r>
        <w:t xml:space="preserve">Shell adalah salah satu perusahaan energi terbesar dunia dengan emisi Scope 1, 2, dan 3 yang sangat besar. Penggugat berargumen bahwa Shell, melalui operasi dan produknya, berkontribusi signifikan terhadap perubahan iklim dan gagal mengambil tindakan yang memadai untuk mengurangi emisi sesuai Paris Agreement.</w:t>
      </w:r>
    </w:p>
    <w:p>
      <w:pPr>
        <w:pStyle w:val="BodyText"/>
      </w:pPr>
      <w:r>
        <w:rPr>
          <w:b/>
          <w:bCs/>
        </w:rPr>
        <w:t xml:space="preserve">Dasar Gugatan:</w:t>
      </w:r>
      <w:r>
        <w:t xml:space="preserve"> </w:t>
      </w:r>
      <w:r>
        <w:t xml:space="preserve">1.</w:t>
      </w:r>
      <w:r>
        <w:t xml:space="preserve"> </w:t>
      </w:r>
      <w:r>
        <w:rPr>
          <w:b/>
          <w:bCs/>
        </w:rPr>
        <w:t xml:space="preserve">Hukum Tort (Perbuatan Melawan Hukum):</w:t>
      </w:r>
      <w:r>
        <w:t xml:space="preserve"> </w:t>
      </w:r>
      <w:r>
        <w:t xml:space="preserve">Pasal 6:162 Burgerlijk Wetboek (Dutch Civil Code) — duty of care (kewajiban kehati-hatian)</w:t>
      </w:r>
      <w:r>
        <w:t xml:space="preserve"> </w:t>
      </w:r>
      <w:r>
        <w:t xml:space="preserve">2.</w:t>
      </w:r>
      <w:r>
        <w:t xml:space="preserve"> </w:t>
      </w:r>
      <w:r>
        <w:rPr>
          <w:b/>
          <w:bCs/>
        </w:rPr>
        <w:t xml:space="preserve">Hak Asasi Manusia:</w:t>
      </w:r>
      <w:r>
        <w:t xml:space="preserve"> </w:t>
      </w:r>
      <w:r>
        <w:t xml:space="preserve">- Pasal 2 ECHR (hak atas kehidupan)</w:t>
      </w:r>
      <w:r>
        <w:t xml:space="preserve"> </w:t>
      </w:r>
      <w:r>
        <w:t xml:space="preserve">- Pasal 8 ECHR (hak atas kehidupan pribadi dan keluarga)</w:t>
      </w:r>
      <w:r>
        <w:t xml:space="preserve"> </w:t>
      </w:r>
      <w:r>
        <w:t xml:space="preserve">3.</w:t>
      </w:r>
      <w:r>
        <w:t xml:space="preserve"> </w:t>
      </w:r>
      <w:r>
        <w:rPr>
          <w:b/>
          <w:bCs/>
        </w:rPr>
        <w:t xml:space="preserve">OECD Guidelines for Multinational Enterprises:</w:t>
      </w:r>
      <w:r>
        <w:t xml:space="preserve"> </w:t>
      </w:r>
      <w:r>
        <w:t xml:space="preserve">Standar perilaku korporasi yang bertanggung jawab</w:t>
      </w:r>
      <w:r>
        <w:t xml:space="preserve"> </w:t>
      </w:r>
      <w:r>
        <w:t xml:space="preserve">4.</w:t>
      </w:r>
      <w:r>
        <w:t xml:space="preserve"> </w:t>
      </w:r>
      <w:r>
        <w:rPr>
          <w:b/>
          <w:bCs/>
        </w:rPr>
        <w:t xml:space="preserve">Paris Agreement:</w:t>
      </w:r>
      <w:r>
        <w:t xml:space="preserve"> </w:t>
      </w:r>
      <w:r>
        <w:t xml:space="preserve">Kewajiban untuk mendukung upaya global membatasi pemanasan di bawah 1,5°C</w:t>
      </w:r>
    </w:p>
    <w:p>
      <w:pPr>
        <w:pStyle w:val="BodyText"/>
      </w:pPr>
      <w:r>
        <w:rPr>
          <w:b/>
          <w:bCs/>
        </w:rPr>
        <w:t xml:space="preserve">Petitum:</w:t>
      </w:r>
      <w:r>
        <w:t xml:space="preserve"> </w:t>
      </w:r>
      <w:r>
        <w:t xml:space="preserve">Penggugat meminta pengadilan memerintahkan Shell untuk:</w:t>
      </w:r>
      <w:r>
        <w:t xml:space="preserve"> </w:t>
      </w:r>
      <w:r>
        <w:t xml:space="preserve">1. Mengurangi emisi CO₂ sebesar</w:t>
      </w:r>
      <w:r>
        <w:t xml:space="preserve"> </w:t>
      </w:r>
      <w:r>
        <w:rPr>
          <w:b/>
          <w:bCs/>
        </w:rPr>
        <w:t xml:space="preserve">45% pada 2030</w:t>
      </w:r>
      <w:r>
        <w:t xml:space="preserve"> </w:t>
      </w:r>
      <w:r>
        <w:t xml:space="preserve">(dibandingkan level 2019)</w:t>
      </w:r>
      <w:r>
        <w:t xml:space="preserve"> </w:t>
      </w:r>
      <w:r>
        <w:t xml:space="preserve">2. Pengurangan mencakup</w:t>
      </w:r>
      <w:r>
        <w:t xml:space="preserve"> </w:t>
      </w:r>
      <w:r>
        <w:rPr>
          <w:b/>
          <w:bCs/>
        </w:rPr>
        <w:t xml:space="preserve">Scope 1, 2, dan 3</w:t>
      </w:r>
      <w:r>
        <w:t xml:space="preserve"> </w:t>
      </w:r>
      <w:r>
        <w:t xml:space="preserve">emissions:</w:t>
      </w:r>
      <w:r>
        <w:t xml:space="preserve"> </w:t>
      </w:r>
      <w:r>
        <w:t xml:space="preserve">-</w:t>
      </w:r>
      <w:r>
        <w:t xml:space="preserve"> </w:t>
      </w:r>
      <w:r>
        <w:rPr>
          <w:b/>
          <w:bCs/>
        </w:rPr>
        <w:t xml:space="preserve">Scope 1:</w:t>
      </w:r>
      <w:r>
        <w:t xml:space="preserve"> </w:t>
      </w:r>
      <w:r>
        <w:t xml:space="preserve">Emisi langsung dari operasi Shell (pengeboran, refinery, dll.)</w:t>
      </w:r>
      <w:r>
        <w:t xml:space="preserve"> </w:t>
      </w:r>
      <w:r>
        <w:t xml:space="preserve">-</w:t>
      </w:r>
      <w:r>
        <w:t xml:space="preserve"> </w:t>
      </w:r>
      <w:r>
        <w:rPr>
          <w:b/>
          <w:bCs/>
        </w:rPr>
        <w:t xml:space="preserve">Scope 2:</w:t>
      </w:r>
      <w:r>
        <w:t xml:space="preserve"> </w:t>
      </w:r>
      <w:r>
        <w:t xml:space="preserve">Emisi tidak langsung dari konsumsi energi Shell</w:t>
      </w:r>
      <w:r>
        <w:t xml:space="preserve"> </w:t>
      </w:r>
      <w:r>
        <w:t xml:space="preserve">-</w:t>
      </w:r>
      <w:r>
        <w:t xml:space="preserve"> </w:t>
      </w:r>
      <w:r>
        <w:rPr>
          <w:b/>
          <w:bCs/>
        </w:rPr>
        <w:t xml:space="preserve">Scope 3:</w:t>
      </w:r>
      <w:r>
        <w:t xml:space="preserve"> </w:t>
      </w:r>
      <w:r>
        <w:t xml:space="preserve">Emisi dari penggunaan produk Shell oleh konsumen (end-use emissions) — misalnya, emisi dari pembakaran bensin yang dijual Shell</w:t>
      </w:r>
    </w:p>
    <w:p>
      <w:pPr>
        <w:pStyle w:val="BodyText"/>
      </w:pPr>
      <w:r>
        <w:rPr>
          <w:b/>
          <w:bCs/>
        </w:rPr>
        <w:t xml:space="preserve">Putusan District Court (26 Mei 2021):</w:t>
      </w:r>
      <w:r>
        <w:t xml:space="preserve"> </w:t>
      </w:r>
      <w:r>
        <w:t xml:space="preserve">Pengadilan Den Haag mengabulkan gugatan dan memerintahkan Shell untuk mengurangi emisi 45% pada 2030, termasuk</w:t>
      </w:r>
      <w:r>
        <w:t xml:space="preserve"> </w:t>
      </w:r>
      <w:r>
        <w:rPr>
          <w:b/>
          <w:bCs/>
        </w:rPr>
        <w:t xml:space="preserve">Scope 3 emissions</w:t>
      </w:r>
      <w:r>
        <w:t xml:space="preserve">.</w:t>
      </w:r>
    </w:p>
    <w:p>
      <w:pPr>
        <w:pStyle w:val="BodyText"/>
      </w:pPr>
      <w:r>
        <w:rPr>
          <w:b/>
          <w:bCs/>
        </w:rPr>
        <w:t xml:space="preserve">Pertimbangan Hukum:</w:t>
      </w:r>
      <w:r>
        <w:t xml:space="preserve"> </w:t>
      </w:r>
      <w:r>
        <w:t xml:space="preserve">1.</w:t>
      </w:r>
      <w:r>
        <w:t xml:space="preserve"> </w:t>
      </w:r>
      <w:r>
        <w:rPr>
          <w:b/>
          <w:bCs/>
        </w:rPr>
        <w:t xml:space="preserve">Duty of Care:</w:t>
      </w:r>
      <w:r>
        <w:t xml:space="preserve"> </w:t>
      </w:r>
      <w:r>
        <w:t xml:space="preserve">Shell memiliki kewajiban hukum berdasarkan tort law untuk tidak menyebabkan bahaya yang dapat diprediksi, termasuk dampak perubahan iklim</w:t>
      </w:r>
      <w:r>
        <w:t xml:space="preserve"> </w:t>
      </w:r>
      <w:r>
        <w:t xml:space="preserve">2.</w:t>
      </w:r>
      <w:r>
        <w:t xml:space="preserve"> </w:t>
      </w:r>
      <w:r>
        <w:rPr>
          <w:b/>
          <w:bCs/>
        </w:rPr>
        <w:t xml:space="preserve">Human Rights Due Diligence:</w:t>
      </w:r>
      <w:r>
        <w:t xml:space="preserve"> </w:t>
      </w:r>
      <w:r>
        <w:t xml:space="preserve">Sebagai perusahaan besar, Shell berkewajiban melakukan uji tuntas HAM sesuai UN Guiding Principles on Business and Human Rights (UNGPs)</w:t>
      </w:r>
      <w:r>
        <w:t xml:space="preserve"> </w:t>
      </w:r>
      <w:r>
        <w:t xml:space="preserve">3.</w:t>
      </w:r>
      <w:r>
        <w:t xml:space="preserve"> </w:t>
      </w:r>
      <w:r>
        <w:rPr>
          <w:b/>
          <w:bCs/>
        </w:rPr>
        <w:t xml:space="preserve">Scope 3 Inclusion:</w:t>
      </w:r>
      <w:r>
        <w:t xml:space="preserve"> </w:t>
      </w:r>
      <w:r>
        <w:t xml:space="preserve">Pengadilan menyatakan Shell bertanggung jawab atas emisi Scope 3 karena Shell memiliki</w:t>
      </w:r>
      <w:r>
        <w:t xml:space="preserve"> </w:t>
      </w:r>
      <w:r>
        <w:t xml:space="preserve">“considerable degree of influence”</w:t>
      </w:r>
      <w:r>
        <w:t xml:space="preserve"> </w:t>
      </w:r>
      <w:r>
        <w:t xml:space="preserve">atas produk yang dijualnya</w:t>
      </w:r>
      <w:r>
        <w:t xml:space="preserve"> </w:t>
      </w:r>
      <w:r>
        <w:t xml:space="preserve">4.</w:t>
      </w:r>
      <w:r>
        <w:t xml:space="preserve"> </w:t>
      </w:r>
      <w:r>
        <w:rPr>
          <w:b/>
          <w:bCs/>
        </w:rPr>
        <w:t xml:space="preserve">Separation of Powers:</w:t>
      </w:r>
      <w:r>
        <w:t xml:space="preserve"> </w:t>
      </w:r>
      <w:r>
        <w:t xml:space="preserve">Pengadilan menegaskan bahwa memerintahkan perusahaan untuk mengurangi emisi</w:t>
      </w:r>
      <w:r>
        <w:t xml:space="preserve"> </w:t>
      </w:r>
      <w:r>
        <w:rPr>
          <w:b/>
          <w:bCs/>
        </w:rPr>
        <w:t xml:space="preserve">tidak melanggar</w:t>
      </w:r>
      <w:r>
        <w:t xml:space="preserve"> </w:t>
      </w:r>
      <w:r>
        <w:t xml:space="preserve">pemisahan kekuasaan, karena pengadilan hanya menegakkan standar hukum yang sudah ada (duty of care), bukan menciptakan kebijakan baru</w:t>
      </w:r>
    </w:p>
    <w:p>
      <w:pPr>
        <w:pStyle w:val="BodyText"/>
      </w:pPr>
      <w:r>
        <w:rPr>
          <w:b/>
          <w:bCs/>
        </w:rPr>
        <w:t xml:space="preserve">Putusan Court of Appeal (12 November 2024):</w:t>
      </w:r>
      <w:r>
        <w:t xml:space="preserve"> </w:t>
      </w:r>
      <w:r>
        <w:t xml:space="preserve">Pengadilan Banding</w:t>
      </w:r>
      <w:r>
        <w:t xml:space="preserve"> </w:t>
      </w:r>
      <w:r>
        <w:rPr>
          <w:b/>
          <w:bCs/>
        </w:rPr>
        <w:t xml:space="preserve">membalikkan</w:t>
      </w:r>
      <w:r>
        <w:t xml:space="preserve"> </w:t>
      </w:r>
      <w:r>
        <w:t xml:space="preserve">sebagian putusan tingkat pertama.</w:t>
      </w:r>
    </w:p>
    <w:p>
      <w:pPr>
        <w:pStyle w:val="BodyText"/>
      </w:pPr>
      <w:r>
        <w:rPr>
          <w:b/>
          <w:bCs/>
        </w:rPr>
        <w:t xml:space="preserve">Pertimbangan Banding:</w:t>
      </w:r>
      <w:r>
        <w:t xml:space="preserve"> </w:t>
      </w:r>
      <w:r>
        <w:t xml:space="preserve">1.</w:t>
      </w:r>
      <w:r>
        <w:t xml:space="preserve"> </w:t>
      </w:r>
      <w:r>
        <w:rPr>
          <w:b/>
          <w:bCs/>
        </w:rPr>
        <w:t xml:space="preserve">Duty of Care Tetap Berlaku:</w:t>
      </w:r>
      <w:r>
        <w:t xml:space="preserve"> </w:t>
      </w:r>
      <w:r>
        <w:t xml:space="preserve">Pengadilan Banding mengonfirmasi bahwa Shell memiliki duty of care untuk mengurangi emisi dan melindungi dari bahaya perubahan iklim</w:t>
      </w:r>
      <w:r>
        <w:t xml:space="preserve"> </w:t>
      </w:r>
      <w:r>
        <w:t xml:space="preserve">2.</w:t>
      </w:r>
      <w:r>
        <w:t xml:space="preserve"> </w:t>
      </w:r>
      <w:r>
        <w:rPr>
          <w:b/>
          <w:bCs/>
        </w:rPr>
        <w:t xml:space="preserve">Namun, Tidak Ada</w:t>
      </w:r>
      <w:r>
        <w:rPr>
          <w:b/>
          <w:bCs/>
        </w:rPr>
        <w:t xml:space="preserve"> </w:t>
      </w:r>
      <w:r>
        <w:rPr>
          <w:b/>
          <w:bCs/>
        </w:rPr>
        <w:t xml:space="preserve">“Societal Standard”</w:t>
      </w:r>
      <w:r>
        <w:rPr>
          <w:b/>
          <w:bCs/>
        </w:rPr>
        <w:t xml:space="preserve"> </w:t>
      </w:r>
      <w:r>
        <w:rPr>
          <w:b/>
          <w:bCs/>
        </w:rPr>
        <w:t xml:space="preserve">yang Jelas:</w:t>
      </w:r>
      <w:r>
        <w:t xml:space="preserve"> </w:t>
      </w:r>
      <w:r>
        <w:t xml:space="preserve">Pengadilan menyatakan tidak ada standar sosial yang jelas dan spesifik yang mewajibkan pengurangan 45% pada 2030</w:t>
      </w:r>
      <w:r>
        <w:t xml:space="preserve"> </w:t>
      </w:r>
      <w:r>
        <w:t xml:space="preserve">3.</w:t>
      </w:r>
      <w:r>
        <w:t xml:space="preserve"> </w:t>
      </w:r>
      <w:r>
        <w:rPr>
          <w:b/>
          <w:bCs/>
        </w:rPr>
        <w:t xml:space="preserve">Scope 3 Issues:</w:t>
      </w:r>
      <w:r>
        <w:t xml:space="preserve"> </w:t>
      </w:r>
      <w:r>
        <w:t xml:space="preserve">Pengadilan Banding menerima argumen Shell bahwa mengurangi penjualan produk fosil mungkin hanya mengalihkan emisi ke kompetitor lain (substitution effect), bukan mengurangi emisi global</w:t>
      </w:r>
      <w:r>
        <w:t xml:space="preserve"> </w:t>
      </w:r>
      <w:r>
        <w:t xml:space="preserve">4.</w:t>
      </w:r>
      <w:r>
        <w:t xml:space="preserve"> </w:t>
      </w:r>
      <w:r>
        <w:rPr>
          <w:b/>
          <w:bCs/>
        </w:rPr>
        <w:t xml:space="preserve">Pemerintah vs. Korporasi:</w:t>
      </w:r>
      <w:r>
        <w:t xml:space="preserve"> </w:t>
      </w:r>
      <w:r>
        <w:t xml:space="preserve">Pengadilan menekankan perbedaan antara kewajiban negara (state duty) dan kewajiban korporasi, menyatakan bahwa target Paris Agreement lebih relevan untuk pemerintah</w:t>
      </w:r>
    </w:p>
    <w:p>
      <w:pPr>
        <w:pStyle w:val="BodyText"/>
      </w:pPr>
      <w:r>
        <w:rPr>
          <w:b/>
          <w:bCs/>
        </w:rPr>
        <w:t xml:space="preserve">Meskipun demikian</w:t>
      </w:r>
      <w:r>
        <w:t xml:space="preserve">, pengadilan tetap menyatakan Shell berkewajiban mengurangi emisi, hanya saja tidak dapat menentukan target spesifik 45%.</w:t>
      </w:r>
    </w:p>
    <w:p>
      <w:pPr>
        <w:pStyle w:val="BodyText"/>
      </w:pPr>
      <w:r>
        <w:rPr>
          <w:b/>
          <w:bCs/>
        </w:rPr>
        <w:t xml:space="preserve">Status Saat Ini (2025):</w:t>
      </w:r>
      <w:r>
        <w:t xml:space="preserve"> </w:t>
      </w:r>
      <w:r>
        <w:t xml:space="preserve">Milieudefensie dan penggugat lainnya mengajukan kasasi ke Hoge Raad (Mahkamah Agung Belanda) pada Februari 2025. Perkara saat ini menunggu jadwal sidang kasasi.</w:t>
      </w:r>
    </w:p>
    <w:p>
      <w:pPr>
        <w:pStyle w:val="BodyText"/>
      </w:pPr>
      <w:r>
        <w:rPr>
          <w:b/>
          <w:bCs/>
        </w:rPr>
        <w:t xml:space="preserve">Signifikansi Hukum:</w:t>
      </w:r>
      <w:r>
        <w:t xml:space="preserve"> </w:t>
      </w:r>
      <w:r>
        <w:t xml:space="preserve">-</w:t>
      </w:r>
      <w:r>
        <w:t xml:space="preserve"> </w:t>
      </w:r>
      <w:r>
        <w:rPr>
          <w:b/>
          <w:bCs/>
        </w:rPr>
        <w:t xml:space="preserve">Kasus pertama di dunia</w:t>
      </w:r>
      <w:r>
        <w:t xml:space="preserve"> </w:t>
      </w:r>
      <w:r>
        <w:t xml:space="preserve">yang berhasil (di tingkat pertama) memerintahkan</w:t>
      </w:r>
      <w:r>
        <w:t xml:space="preserve"> </w:t>
      </w:r>
      <w:r>
        <w:rPr>
          <w:b/>
          <w:bCs/>
        </w:rPr>
        <w:t xml:space="preserve">korporasi swasta</w:t>
      </w:r>
      <w:r>
        <w:t xml:space="preserve"> </w:t>
      </w:r>
      <w:r>
        <w:t xml:space="preserve">untuk mengurangi emisi, termasuk</w:t>
      </w:r>
      <w:r>
        <w:t xml:space="preserve"> </w:t>
      </w:r>
      <w:r>
        <w:rPr>
          <w:b/>
          <w:bCs/>
        </w:rPr>
        <w:t xml:space="preserve">Scope 3</w:t>
      </w:r>
      <w:r>
        <w:t xml:space="preserve"> </w:t>
      </w:r>
      <w:r>
        <w:t xml:space="preserve">- Menetapkan preseden bahwa</w:t>
      </w:r>
      <w:r>
        <w:t xml:space="preserve"> </w:t>
      </w:r>
      <w:r>
        <w:rPr>
          <w:b/>
          <w:bCs/>
        </w:rPr>
        <w:t xml:space="preserve">duty of care</w:t>
      </w:r>
      <w:r>
        <w:t xml:space="preserve"> </w:t>
      </w:r>
      <w:r>
        <w:t xml:space="preserve">berlaku tidak hanya pada negara, tetapi juga pada perusahaan besar</w:t>
      </w:r>
      <w:r>
        <w:t xml:space="preserve"> </w:t>
      </w:r>
      <w:r>
        <w:t xml:space="preserve">- Menunjukkan kompleksitas</w:t>
      </w:r>
      <w:r>
        <w:t xml:space="preserve"> </w:t>
      </w:r>
      <w:r>
        <w:rPr>
          <w:b/>
          <w:bCs/>
        </w:rPr>
        <w:t xml:space="preserve">corporate climate litigation</w:t>
      </w:r>
      <w:r>
        <w:t xml:space="preserve">, khususnya terkait:</w:t>
      </w:r>
      <w:r>
        <w:t xml:space="preserve"> </w:t>
      </w:r>
      <w:r>
        <w:t xml:space="preserve">- Batasan yurisdiksi pengadilan dalam menentukan target teknis</w:t>
      </w:r>
      <w:r>
        <w:t xml:space="preserve"> </w:t>
      </w:r>
      <w:r>
        <w:t xml:space="preserve">- Masalah substitution effect pada Scope 3</w:t>
      </w:r>
      <w:r>
        <w:t xml:space="preserve"> </w:t>
      </w:r>
      <w:r>
        <w:t xml:space="preserve">- Standar pembuktian kausalitas dan atribusi</w:t>
      </w:r>
      <w:r>
        <w:t xml:space="preserve"> </w:t>
      </w:r>
      <w:r>
        <w:t xml:space="preserve">- Putusan banding menunjukkan bahwa</w:t>
      </w:r>
      <w:r>
        <w:t xml:space="preserve"> </w:t>
      </w:r>
      <w:r>
        <w:rPr>
          <w:b/>
          <w:bCs/>
        </w:rPr>
        <w:t xml:space="preserve">keberhasilan tingkat pertama tidak menjamin kemenangan final</w:t>
      </w:r>
      <w:r>
        <w:t xml:space="preserve">, dan strategi litigasi harus mengantisipasi argumen tingkat banding</w:t>
      </w:r>
    </w:p>
    <w:p>
      <w:pPr>
        <w:pStyle w:val="BodyText"/>
      </w:pPr>
      <w:r>
        <w:rPr>
          <w:b/>
          <w:bCs/>
        </w:rPr>
        <w:t xml:space="preserve">Pelajaran untuk Litigator:</w:t>
      </w:r>
      <w:r>
        <w:t xml:space="preserve"> </w:t>
      </w:r>
      <w:r>
        <w:t xml:space="preserve">- Pentingnya membangun</w:t>
      </w:r>
      <w:r>
        <w:t xml:space="preserve"> </w:t>
      </w:r>
      <w:r>
        <w:rPr>
          <w:b/>
          <w:bCs/>
        </w:rPr>
        <w:t xml:space="preserve">“societal standard of care”</w:t>
      </w:r>
      <w:r>
        <w:t xml:space="preserve"> </w:t>
      </w:r>
      <w:r>
        <w:t xml:space="preserve">yang jelas dan terukur</w:t>
      </w:r>
      <w:r>
        <w:t xml:space="preserve"> </w:t>
      </w:r>
      <w:r>
        <w:t xml:space="preserve">- Perlu bukti empiris bahwa pengurangan emisi perusahaan akan efektif mengurangi emisi global (bukan hanya substitusi)</w:t>
      </w:r>
      <w:r>
        <w:t xml:space="preserve"> </w:t>
      </w:r>
      <w:r>
        <w:t xml:space="preserve">- Perbedaan kewajiban</w:t>
      </w:r>
      <w:r>
        <w:t xml:space="preserve"> </w:t>
      </w:r>
      <w:r>
        <w:rPr>
          <w:b/>
          <w:bCs/>
        </w:rPr>
        <w:t xml:space="preserve">negara vs. korporasi</w:t>
      </w:r>
      <w:r>
        <w:t xml:space="preserve"> </w:t>
      </w:r>
      <w:r>
        <w:t xml:space="preserve">harus dipertimbangkan dalam strategi hukum</w:t>
      </w:r>
    </w:p>
    <w:p>
      <w:pPr>
        <w:pStyle w:val="BodyText"/>
      </w:pPr>
      <w:r>
        <w:rPr>
          <w:b/>
          <w:bCs/>
        </w:rPr>
        <w:t xml:space="preserve">Sumber:</w:t>
      </w:r>
      <w:r>
        <w:t xml:space="preserve"> </w:t>
      </w:r>
      <w:r>
        <w:t xml:space="preserve">-</w:t>
      </w:r>
      <w:r>
        <w:t xml:space="preserve"> </w:t>
      </w:r>
      <w:hyperlink r:id="rId31">
        <w:r>
          <w:rPr>
            <w:rStyle w:val="Hyperlink"/>
          </w:rPr>
          <w:t xml:space="preserve">Climate Case Chart: Milieudefensie v. Shell</w:t>
        </w:r>
      </w:hyperlink>
      <w:r>
        <w:t xml:space="preserve"> </w:t>
      </w:r>
      <w:r>
        <w:t xml:space="preserve">-</w:t>
      </w:r>
      <w:r>
        <w:t xml:space="preserve"> </w:t>
      </w:r>
      <w:hyperlink r:id="rId32">
        <w:r>
          <w:rPr>
            <w:rStyle w:val="Hyperlink"/>
          </w:rPr>
          <w:t xml:space="preserve">Wikipedia: Milieudefensie v Royal Dutch Shell</w:t>
        </w:r>
      </w:hyperlink>
      <w:r>
        <w:t xml:space="preserve"> </w:t>
      </w:r>
      <w:r>
        <w:t xml:space="preserve">-</w:t>
      </w:r>
      <w:r>
        <w:t xml:space="preserve"> </w:t>
      </w:r>
      <w:hyperlink r:id="rId33">
        <w:r>
          <w:rPr>
            <w:rStyle w:val="Hyperlink"/>
          </w:rPr>
          <w:t xml:space="preserve">Climate in the Courts: Landmark Climate Case Against Shell Goes To Dutch Supreme Court</w:t>
        </w:r>
      </w:hyperlink>
    </w:p>
    <w:p>
      <w:r>
        <w:pict>
          <v:rect style="width:0;height:1.5pt" o:hralign="center" o:hrstd="t" o:hr="t"/>
        </w:pict>
      </w:r>
    </w:p>
    <w:bookmarkEnd w:id="34"/>
    <w:bookmarkStart w:id="38" w:name="X15a8853283498920bb99a1a3d29762ec2281b56"/>
    <w:p>
      <w:pPr>
        <w:pStyle w:val="Heading4"/>
      </w:pPr>
      <w:r>
        <w:t xml:space="preserve">2.4 ICJ Advisory Opinion on Climate Change (2025)</w:t>
      </w:r>
    </w:p>
    <w:p>
      <w:pPr>
        <w:pStyle w:val="FirstParagraph"/>
      </w:pPr>
      <w:r>
        <w:rPr>
          <w:b/>
          <w:bCs/>
        </w:rPr>
        <w:t xml:space="preserve">Forum:</w:t>
      </w:r>
      <w:r>
        <w:t xml:space="preserve"> </w:t>
      </w:r>
      <w:r>
        <w:t xml:space="preserve">International Court of Justice (Mahkamah Internasional)</w:t>
      </w:r>
    </w:p>
    <w:p>
      <w:pPr>
        <w:pStyle w:val="BodyText"/>
      </w:pPr>
      <w:r>
        <w:rPr>
          <w:b/>
          <w:bCs/>
        </w:rPr>
        <w:t xml:space="preserve">Request for Advisory Opinion:</w:t>
      </w:r>
      <w:r>
        <w:t xml:space="preserve"> </w:t>
      </w:r>
      <w:r>
        <w:t xml:space="preserve">Pada Maret 2023, Majelis Umum PBB (UN General Assembly) mengadopsi Resolusi 77/276 yang meminta ICJ untuk memberikan</w:t>
      </w:r>
      <w:r>
        <w:t xml:space="preserve"> </w:t>
      </w:r>
      <w:r>
        <w:rPr>
          <w:b/>
          <w:bCs/>
        </w:rPr>
        <w:t xml:space="preserve">Advisory Opinion</w:t>
      </w:r>
      <w:r>
        <w:t xml:space="preserve"> </w:t>
      </w:r>
      <w:r>
        <w:t xml:space="preserve">tentang kewajiban negara-negara terkait perubahan iklim. Permintaan ini diprakarsai oleh Vanuatu dan didukung oleh kelompok negara kepulauan Pasifik dan negara-negara rentan lainnya.</w:t>
      </w:r>
    </w:p>
    <w:p>
      <w:pPr>
        <w:pStyle w:val="BodyText"/>
      </w:pPr>
      <w:r>
        <w:rPr>
          <w:b/>
          <w:bCs/>
        </w:rPr>
        <w:t xml:space="preserve">Pertanyaan yang Diajukan kepada ICJ:</w:t>
      </w:r>
      <w:r>
        <w:t xml:space="preserve"> </w:t>
      </w:r>
      <w:r>
        <w:t xml:space="preserve">1. Apa kewajiban negara-negara berdasarkan hukum internasional untuk memastikan perlindungan sistem iklim untuk generasi sekarang dan mendatang?</w:t>
      </w:r>
      <w:r>
        <w:t xml:space="preserve"> </w:t>
      </w:r>
      <w:r>
        <w:t xml:space="preserve">2. Apa konsekuensi hukum bagi negara-negara yang, melalui tindakan atau kelalaian mereka, telah menyebabkan kerusakan signifikan terhadap sistem iklim dan lingkungan, khususnya terhadap negara-negara kepulauan kecil yang sangat rentan terhadap dampak perubahan iklim?</w:t>
      </w:r>
    </w:p>
    <w:p>
      <w:pPr>
        <w:pStyle w:val="BodyText"/>
      </w:pPr>
      <w:r>
        <w:rPr>
          <w:b/>
          <w:bCs/>
        </w:rPr>
        <w:t xml:space="preserve">Putusan ICJ (23 Juli 2025):</w:t>
      </w:r>
      <w:r>
        <w:t xml:space="preserve"> </w:t>
      </w:r>
      <w:r>
        <w:t xml:space="preserve">ICJ mengeluarkan Advisory Opinion dengan</w:t>
      </w:r>
      <w:r>
        <w:t xml:space="preserve"> </w:t>
      </w:r>
      <w:r>
        <w:rPr>
          <w:b/>
          <w:bCs/>
        </w:rPr>
        <w:t xml:space="preserve">suara bulat</w:t>
      </w:r>
      <w:r>
        <w:t xml:space="preserve"> </w:t>
      </w:r>
      <w:r>
        <w:t xml:space="preserve">(unanimous), yang menegaskan kewajiban hukum negara-negara terkait perubahan iklim.</w:t>
      </w:r>
    </w:p>
    <w:p>
      <w:pPr>
        <w:pStyle w:val="BodyText"/>
      </w:pPr>
      <w:r>
        <w:rPr>
          <w:b/>
          <w:bCs/>
        </w:rPr>
        <w:t xml:space="preserve">Temuan Hukum Utama:</w:t>
      </w:r>
    </w:p>
    <w:p>
      <w:pPr>
        <w:pStyle w:val="BodyText"/>
      </w:pPr>
      <w:r>
        <w:rPr>
          <w:b/>
          <w:bCs/>
        </w:rPr>
        <w:t xml:space="preserve">1. Kewajiban Berdasarkan Hukum Kebiasaan Internasional (Customary International Law)</w:t>
      </w:r>
      <w:r>
        <w:t xml:space="preserve"> </w:t>
      </w:r>
      <w:r>
        <w:t xml:space="preserve">- Semua negara memiliki</w:t>
      </w:r>
      <w:r>
        <w:t xml:space="preserve"> </w:t>
      </w:r>
      <w:r>
        <w:rPr>
          <w:b/>
          <w:bCs/>
        </w:rPr>
        <w:t xml:space="preserve">kewajiban hukum kebiasaan</w:t>
      </w:r>
      <w:r>
        <w:t xml:space="preserve"> </w:t>
      </w:r>
      <w:r>
        <w:t xml:space="preserve">untuk tidak menyebabkan kerusakan lingkungan lintas batas (transboundary harm), termasuk kerusakan sistem iklim</w:t>
      </w:r>
      <w:r>
        <w:t xml:space="preserve"> </w:t>
      </w:r>
      <w:r>
        <w:t xml:space="preserve">- Kewajiban ini berlaku untuk</w:t>
      </w:r>
      <w:r>
        <w:t xml:space="preserve"> </w:t>
      </w:r>
      <w:r>
        <w:rPr>
          <w:b/>
          <w:bCs/>
        </w:rPr>
        <w:t xml:space="preserve">semua negara</w:t>
      </w:r>
      <w:r>
        <w:t xml:space="preserve">, terlepas dari apakah mereka pihak pada perjanjian iklim tertentu (seperti UNFCCC atau Paris Agreement)</w:t>
      </w:r>
      <w:r>
        <w:t xml:space="preserve"> </w:t>
      </w:r>
      <w:r>
        <w:t xml:space="preserve">- Negara-negara harus mengambil tindakan untuk mencapai pengurangan emisi yang</w:t>
      </w:r>
      <w:r>
        <w:t xml:space="preserve"> </w:t>
      </w:r>
      <w:r>
        <w:t xml:space="preserve">“</w:t>
      </w:r>
      <w:r>
        <w:rPr>
          <w:b/>
          <w:bCs/>
        </w:rPr>
        <w:t xml:space="preserve">deep, rapid, and sustained</w:t>
      </w:r>
      <w:r>
        <w:t xml:space="preserve">”</w:t>
      </w:r>
      <w:r>
        <w:t xml:space="preserve"> </w:t>
      </w:r>
      <w:r>
        <w:t xml:space="preserve">(dalam, cepat, dan berkelanjutan)</w:t>
      </w:r>
    </w:p>
    <w:p>
      <w:pPr>
        <w:pStyle w:val="BodyText"/>
      </w:pPr>
      <w:r>
        <w:rPr>
          <w:b/>
          <w:bCs/>
        </w:rPr>
        <w:t xml:space="preserve">2. Target 1,5°C adalah Kewajiban Hukum yang Mengikat</w:t>
      </w:r>
      <w:r>
        <w:t xml:space="preserve"> </w:t>
      </w:r>
      <w:r>
        <w:t xml:space="preserve">- ICJ menegaskan bahwa target</w:t>
      </w:r>
      <w:r>
        <w:t xml:space="preserve"> </w:t>
      </w:r>
      <w:r>
        <w:rPr>
          <w:b/>
          <w:bCs/>
        </w:rPr>
        <w:t xml:space="preserve">membatasi pemanasan global pada 1,5°C</w:t>
      </w:r>
      <w:r>
        <w:t xml:space="preserve"> </w:t>
      </w:r>
      <w:r>
        <w:t xml:space="preserve">di atas level pra-industri adalah</w:t>
      </w:r>
      <w:r>
        <w:t xml:space="preserve"> </w:t>
      </w:r>
      <w:r>
        <w:rPr>
          <w:b/>
          <w:bCs/>
        </w:rPr>
        <w:t xml:space="preserve">legally binding</w:t>
      </w:r>
      <w:r>
        <w:t xml:space="preserve"> </w:t>
      </w:r>
      <w:r>
        <w:t xml:space="preserve">berdasarkan Paris Agreement</w:t>
      </w:r>
      <w:r>
        <w:t xml:space="preserve"> </w:t>
      </w:r>
      <w:r>
        <w:t xml:space="preserve">- Negara-negara maju harus mengambil tindakan ambisius sesuai sains terbaik yang tersedia (best available science)</w:t>
      </w:r>
      <w:r>
        <w:t xml:space="preserve"> </w:t>
      </w:r>
      <w:r>
        <w:t xml:space="preserve">- IPCC reports dianggap sebagai</w:t>
      </w:r>
      <w:r>
        <w:t xml:space="preserve"> </w:t>
      </w:r>
      <w:r>
        <w:rPr>
          <w:b/>
          <w:bCs/>
        </w:rPr>
        <w:t xml:space="preserve">standar sains</w:t>
      </w:r>
      <w:r>
        <w:t xml:space="preserve"> </w:t>
      </w:r>
      <w:r>
        <w:t xml:space="preserve">yang relevan untuk menentukan tingkat ambisi yang diperlukan</w:t>
      </w:r>
    </w:p>
    <w:p>
      <w:pPr>
        <w:pStyle w:val="BodyText"/>
      </w:pPr>
      <w:r>
        <w:rPr>
          <w:b/>
          <w:bCs/>
        </w:rPr>
        <w:t xml:space="preserve">3. Adaptasi sebagai Kewajiban Hukum, Bukan Pilihan</w:t>
      </w:r>
      <w:r>
        <w:t xml:space="preserve"> </w:t>
      </w:r>
      <w:r>
        <w:t xml:space="preserve">- ICJ menekankan bahwa</w:t>
      </w:r>
      <w:r>
        <w:t xml:space="preserve"> </w:t>
      </w:r>
      <w:r>
        <w:rPr>
          <w:b/>
          <w:bCs/>
        </w:rPr>
        <w:t xml:space="preserve">adaptasi perubahan iklim</w:t>
      </w:r>
      <w:r>
        <w:t xml:space="preserve"> </w:t>
      </w:r>
      <w:r>
        <w:t xml:space="preserve">adalah</w:t>
      </w:r>
      <w:r>
        <w:t xml:space="preserve"> </w:t>
      </w:r>
      <w:r>
        <w:rPr>
          <w:b/>
          <w:bCs/>
        </w:rPr>
        <w:t xml:space="preserve">kewajiban hukum</w:t>
      </w:r>
      <w:r>
        <w:t xml:space="preserve">, bukan sekadar kebijakan opsional</w:t>
      </w:r>
      <w:r>
        <w:t xml:space="preserve"> </w:t>
      </w:r>
      <w:r>
        <w:t xml:space="preserve">- Negara-negara harus mengambil langkah-langkah untuk melindungi populasi mereka dari dampak perubahan iklim yang tidak dapat dihindari</w:t>
      </w:r>
      <w:r>
        <w:t xml:space="preserve"> </w:t>
      </w:r>
      <w:r>
        <w:t xml:space="preserve">- Kewajiban ini mencakup perlindungan terhadap kelompok rentan (vulnerable groups), termasuk masyarakat adat dan negara kepulauan kecil</w:t>
      </w:r>
    </w:p>
    <w:p>
      <w:pPr>
        <w:pStyle w:val="BodyText"/>
      </w:pPr>
      <w:r>
        <w:rPr>
          <w:b/>
          <w:bCs/>
        </w:rPr>
        <w:t xml:space="preserve">4. Kewajiban Kerja Sama Internasional dan Pendanaan</w:t>
      </w:r>
      <w:r>
        <w:t xml:space="preserve"> </w:t>
      </w:r>
      <w:r>
        <w:t xml:space="preserve">- Negara-negara memiliki</w:t>
      </w:r>
      <w:r>
        <w:t xml:space="preserve"> </w:t>
      </w:r>
      <w:r>
        <w:rPr>
          <w:b/>
          <w:bCs/>
        </w:rPr>
        <w:t xml:space="preserve">kewajiban hukum untuk bekerja sama</w:t>
      </w:r>
      <w:r>
        <w:t xml:space="preserve"> </w:t>
      </w:r>
      <w:r>
        <w:t xml:space="preserve">dalam mengatasi perubahan iklim, termasuk:</w:t>
      </w:r>
      <w:r>
        <w:t xml:space="preserve"> </w:t>
      </w:r>
      <w:r>
        <w:t xml:space="preserve">-</w:t>
      </w:r>
      <w:r>
        <w:t xml:space="preserve"> </w:t>
      </w:r>
      <w:r>
        <w:rPr>
          <w:b/>
          <w:bCs/>
        </w:rPr>
        <w:t xml:space="preserve">Transfer teknologi</w:t>
      </w:r>
      <w:r>
        <w:t xml:space="preserve"> </w:t>
      </w:r>
      <w:r>
        <w:t xml:space="preserve">ke negara berkembang</w:t>
      </w:r>
      <w:r>
        <w:t xml:space="preserve"> </w:t>
      </w:r>
      <w:r>
        <w:t xml:space="preserve">-</w:t>
      </w:r>
      <w:r>
        <w:t xml:space="preserve"> </w:t>
      </w:r>
      <w:r>
        <w:rPr>
          <w:b/>
          <w:bCs/>
        </w:rPr>
        <w:t xml:space="preserve">Pendanaan iklim</w:t>
      </w:r>
      <w:r>
        <w:t xml:space="preserve"> </w:t>
      </w:r>
      <w:r>
        <w:t xml:space="preserve">dalam jumlah yang memadai untuk memungkinkan negara berkembang mencapai target iklim</w:t>
      </w:r>
      <w:r>
        <w:t xml:space="preserve"> </w:t>
      </w:r>
      <w:r>
        <w:t xml:space="preserve">-</w:t>
      </w:r>
      <w:r>
        <w:t xml:space="preserve"> </w:t>
      </w:r>
      <w:r>
        <w:rPr>
          <w:b/>
          <w:bCs/>
        </w:rPr>
        <w:t xml:space="preserve">Capacity building</w:t>
      </w:r>
      <w:r>
        <w:t xml:space="preserve"> </w:t>
      </w:r>
      <w:r>
        <w:t xml:space="preserve">untuk negara yang paling rentan</w:t>
      </w:r>
      <w:r>
        <w:t xml:space="preserve"> </w:t>
      </w:r>
      <w:r>
        <w:t xml:space="preserve">- Kewajiban pendanaan harus pada tingkat yang membuat</w:t>
      </w:r>
      <w:r>
        <w:t xml:space="preserve"> </w:t>
      </w:r>
      <w:r>
        <w:rPr>
          <w:b/>
          <w:bCs/>
        </w:rPr>
        <w:t xml:space="preserve">pencapaian target suhu menjadi mungkin</w:t>
      </w:r>
    </w:p>
    <w:p>
      <w:pPr>
        <w:pStyle w:val="BodyText"/>
      </w:pPr>
      <w:r>
        <w:rPr>
          <w:b/>
          <w:bCs/>
        </w:rPr>
        <w:t xml:space="preserve">5. Konsekuensi Hukum bagi Negara yang Melanggar Kewajiban (State Responsibility)</w:t>
      </w:r>
      <w:r>
        <w:t xml:space="preserve"> </w:t>
      </w:r>
      <w:r>
        <w:t xml:space="preserve">- Negara-negara yang melanggar kewajiban iklim mereka dapat menghadapi</w:t>
      </w:r>
      <w:r>
        <w:t xml:space="preserve"> </w:t>
      </w:r>
      <w:r>
        <w:rPr>
          <w:b/>
          <w:bCs/>
        </w:rPr>
        <w:t xml:space="preserve">konsekuensi hukum penuh</w:t>
      </w:r>
      <w:r>
        <w:t xml:space="preserve"> </w:t>
      </w:r>
      <w:r>
        <w:t xml:space="preserve">berdasarkan prinsip tanggung jawab negara (state responsibility) dalam hukum internasional</w:t>
      </w:r>
      <w:r>
        <w:t xml:space="preserve"> </w:t>
      </w:r>
      <w:r>
        <w:t xml:space="preserve">- Konsekuensi dapat mencakup:</w:t>
      </w:r>
      <w:r>
        <w:t xml:space="preserve"> </w:t>
      </w:r>
      <w:r>
        <w:t xml:space="preserve">-</w:t>
      </w:r>
      <w:r>
        <w:t xml:space="preserve"> </w:t>
      </w:r>
      <w:r>
        <w:rPr>
          <w:b/>
          <w:bCs/>
        </w:rPr>
        <w:t xml:space="preserve">Cessation:</w:t>
      </w:r>
      <w:r>
        <w:t xml:space="preserve"> </w:t>
      </w:r>
      <w:r>
        <w:t xml:space="preserve">Kewajiban untuk menghentikan pelanggaran</w:t>
      </w:r>
      <w:r>
        <w:t xml:space="preserve"> </w:t>
      </w:r>
      <w:r>
        <w:t xml:space="preserve">-</w:t>
      </w:r>
      <w:r>
        <w:t xml:space="preserve"> </w:t>
      </w:r>
      <w:r>
        <w:rPr>
          <w:b/>
          <w:bCs/>
        </w:rPr>
        <w:t xml:space="preserve">Non-repetition:</w:t>
      </w:r>
      <w:r>
        <w:t xml:space="preserve"> </w:t>
      </w:r>
      <w:r>
        <w:t xml:space="preserve">Jaminan bahwa pelanggaran tidak akan terulang</w:t>
      </w:r>
      <w:r>
        <w:t xml:space="preserve"> </w:t>
      </w:r>
      <w:r>
        <w:t xml:space="preserve">-</w:t>
      </w:r>
      <w:r>
        <w:t xml:space="preserve"> </w:t>
      </w:r>
      <w:r>
        <w:rPr>
          <w:b/>
          <w:bCs/>
        </w:rPr>
        <w:t xml:space="preserve">Reparation:</w:t>
      </w:r>
      <w:r>
        <w:t xml:space="preserve"> </w:t>
      </w:r>
      <w:r>
        <w:t xml:space="preserve">Ganti rugi jika kerugian dapat dibuktikan, dalam bentuk:</w:t>
      </w:r>
      <w:r>
        <w:t xml:space="preserve"> </w:t>
      </w:r>
      <w:r>
        <w:t xml:space="preserve">-</w:t>
      </w:r>
      <w:r>
        <w:t xml:space="preserve"> </w:t>
      </w:r>
      <w:r>
        <w:rPr>
          <w:b/>
          <w:bCs/>
        </w:rPr>
        <w:t xml:space="preserve">Restitution</w:t>
      </w:r>
      <w:r>
        <w:t xml:space="preserve"> </w:t>
      </w:r>
      <w:r>
        <w:t xml:space="preserve">(pengembalian ke kondisi semula)</w:t>
      </w:r>
      <w:r>
        <w:t xml:space="preserve"> </w:t>
      </w:r>
      <w:r>
        <w:t xml:space="preserve">-</w:t>
      </w:r>
      <w:r>
        <w:t xml:space="preserve"> </w:t>
      </w:r>
      <w:r>
        <w:rPr>
          <w:b/>
          <w:bCs/>
        </w:rPr>
        <w:t xml:space="preserve">Compensation</w:t>
      </w:r>
      <w:r>
        <w:t xml:space="preserve"> </w:t>
      </w:r>
      <w:r>
        <w:t xml:space="preserve">(kompensasi finansial)</w:t>
      </w:r>
      <w:r>
        <w:t xml:space="preserve"> </w:t>
      </w:r>
      <w:r>
        <w:t xml:space="preserve">-</w:t>
      </w:r>
      <w:r>
        <w:t xml:space="preserve"> </w:t>
      </w:r>
      <w:r>
        <w:rPr>
          <w:b/>
          <w:bCs/>
        </w:rPr>
        <w:t xml:space="preserve">Satisfaction</w:t>
      </w:r>
      <w:r>
        <w:t xml:space="preserve"> </w:t>
      </w:r>
      <w:r>
        <w:t xml:space="preserve">(permintaan maaf, pengakuan kesalahan, dll.)</w:t>
      </w:r>
    </w:p>
    <w:p>
      <w:pPr>
        <w:pStyle w:val="BodyText"/>
      </w:pPr>
      <w:r>
        <w:rPr>
          <w:b/>
          <w:bCs/>
        </w:rPr>
        <w:t xml:space="preserve">6. Due Diligence (Uji Tuntas)</w:t>
      </w:r>
      <w:r>
        <w:t xml:space="preserve"> </w:t>
      </w:r>
      <w:r>
        <w:t xml:space="preserve">- ICJ menegaskan bahwa negara memiliki kewajiban</w:t>
      </w:r>
      <w:r>
        <w:t xml:space="preserve"> </w:t>
      </w:r>
      <w:r>
        <w:rPr>
          <w:b/>
          <w:bCs/>
        </w:rPr>
        <w:t xml:space="preserve">due diligence</w:t>
      </w:r>
      <w:r>
        <w:t xml:space="preserve"> </w:t>
      </w:r>
      <w:r>
        <w:t xml:space="preserve">untuk mencegah, mengurangi, dan mengendalikan emisi GRK</w:t>
      </w:r>
      <w:r>
        <w:t xml:space="preserve"> </w:t>
      </w:r>
      <w:r>
        <w:t xml:space="preserve">- Due diligence adalah</w:t>
      </w:r>
      <w:r>
        <w:t xml:space="preserve"> </w:t>
      </w:r>
      <w:r>
        <w:rPr>
          <w:b/>
          <w:bCs/>
        </w:rPr>
        <w:t xml:space="preserve">kewajiban upaya (obligation of conduct)</w:t>
      </w:r>
      <w:r>
        <w:t xml:space="preserve">, bukan kewajiban hasil (obligation of result), tetapi harus dilakukan dengan:</w:t>
      </w:r>
      <w:r>
        <w:t xml:space="preserve"> </w:t>
      </w:r>
      <w:r>
        <w:t xml:space="preserve">- Best efforts (upaya terbaik)</w:t>
      </w:r>
      <w:r>
        <w:t xml:space="preserve"> </w:t>
      </w:r>
      <w:r>
        <w:t xml:space="preserve">- Berdasarkan sains terbaik yang tersedia</w:t>
      </w:r>
      <w:r>
        <w:t xml:space="preserve"> </w:t>
      </w:r>
      <w:r>
        <w:t xml:space="preserve">- Dengan mempertimbangkan kapasitas dan tanggung jawab masing-masing negara (CBDR-RC: Common But Differentiated Responsibilities and Respective Capabilities)</w:t>
      </w:r>
    </w:p>
    <w:p>
      <w:pPr>
        <w:pStyle w:val="BodyText"/>
      </w:pPr>
      <w:r>
        <w:rPr>
          <w:b/>
          <w:bCs/>
        </w:rPr>
        <w:t xml:space="preserve">Signifikansi Hukum:</w:t>
      </w:r>
    </w:p>
    <w:p>
      <w:pPr>
        <w:pStyle w:val="BodyText"/>
      </w:pPr>
      <w:r>
        <w:rPr>
          <w:b/>
          <w:bCs/>
        </w:rPr>
        <w:t xml:space="preserve">1. Bagi Litigasi Domestik:</w:t>
      </w:r>
      <w:r>
        <w:t xml:space="preserve"> </w:t>
      </w:r>
      <w:r>
        <w:t xml:space="preserve">- Advisory Opinion ICJ dapat digunakan sebagai</w:t>
      </w:r>
      <w:r>
        <w:t xml:space="preserve"> </w:t>
      </w:r>
      <w:r>
        <w:rPr>
          <w:b/>
          <w:bCs/>
        </w:rPr>
        <w:t xml:space="preserve">sumber hukum internasional</w:t>
      </w:r>
      <w:r>
        <w:t xml:space="preserve"> </w:t>
      </w:r>
      <w:r>
        <w:t xml:space="preserve">dalam gugatan domestik untuk:</w:t>
      </w:r>
      <w:r>
        <w:t xml:space="preserve"> </w:t>
      </w:r>
      <w:r>
        <w:t xml:space="preserve">- Menafsirkan kewajiban negara berdasarkan konstitusi dan undang-undang nasional</w:t>
      </w:r>
      <w:r>
        <w:t xml:space="preserve"> </w:t>
      </w:r>
      <w:r>
        <w:t xml:space="preserve">- Mendukung argumen bahwa pemerintah memiliki kewajiban hukum konkret untuk melindungi warga dari perubahan iklim</w:t>
      </w:r>
      <w:r>
        <w:t xml:space="preserve"> </w:t>
      </w:r>
      <w:r>
        <w:t xml:space="preserve">- Menetapkan standar due diligence yang harus dipenuhi pemerintah</w:t>
      </w:r>
    </w:p>
    <w:p>
      <w:pPr>
        <w:pStyle w:val="BodyText"/>
      </w:pPr>
      <w:r>
        <w:rPr>
          <w:b/>
          <w:bCs/>
        </w:rPr>
        <w:t xml:space="preserve">2. Bagi Litigasi Internasional:</w:t>
      </w:r>
      <w:r>
        <w:t xml:space="preserve"> </w:t>
      </w:r>
      <w:r>
        <w:t xml:space="preserve">- Membuka kemungkinan negara-negara yang dirugikan (especially small island states) mengajukan</w:t>
      </w:r>
      <w:r>
        <w:t xml:space="preserve"> </w:t>
      </w:r>
      <w:r>
        <w:rPr>
          <w:b/>
          <w:bCs/>
        </w:rPr>
        <w:t xml:space="preserve">contentious cases</w:t>
      </w:r>
      <w:r>
        <w:t xml:space="preserve"> </w:t>
      </w:r>
      <w:r>
        <w:t xml:space="preserve">(gugatan antar negara) ke ICJ</w:t>
      </w:r>
      <w:r>
        <w:t xml:space="preserve"> </w:t>
      </w:r>
      <w:r>
        <w:t xml:space="preserve">- Memperkuat argumen untuk</w:t>
      </w:r>
      <w:r>
        <w:t xml:space="preserve"> </w:t>
      </w:r>
      <w:r>
        <w:rPr>
          <w:b/>
          <w:bCs/>
        </w:rPr>
        <w:t xml:space="preserve">inter-state climate litigation</w:t>
      </w:r>
      <w:r>
        <w:t xml:space="preserve"> </w:t>
      </w:r>
      <w:r>
        <w:t xml:space="preserve">di forum internasional lainnya (seperti ITLOS, regional human rights courts)</w:t>
      </w:r>
    </w:p>
    <w:p>
      <w:pPr>
        <w:pStyle w:val="BodyText"/>
      </w:pPr>
      <w:r>
        <w:rPr>
          <w:b/>
          <w:bCs/>
        </w:rPr>
        <w:t xml:space="preserve">3. Bagi Kebijakan:</w:t>
      </w:r>
      <w:r>
        <w:t xml:space="preserve"> </w:t>
      </w:r>
      <w:r>
        <w:t xml:space="preserve">- Advisory Opinion memberikan</w:t>
      </w:r>
      <w:r>
        <w:t xml:space="preserve"> </w:t>
      </w:r>
      <w:r>
        <w:rPr>
          <w:b/>
          <w:bCs/>
        </w:rPr>
        <w:t xml:space="preserve">tekanan hukum</w:t>
      </w:r>
      <w:r>
        <w:t xml:space="preserve"> </w:t>
      </w:r>
      <w:r>
        <w:t xml:space="preserve">bagi negara untuk menaikkan ambisi NDC dan mempercepat aksi iklim</w:t>
      </w:r>
      <w:r>
        <w:t xml:space="preserve"> </w:t>
      </w:r>
      <w:r>
        <w:t xml:space="preserve">- Memperkuat legitimasi gerakan aktivis iklim dan LSM untuk menuntut akuntabilitas pemerintah</w:t>
      </w:r>
    </w:p>
    <w:p>
      <w:pPr>
        <w:pStyle w:val="BodyText"/>
      </w:pPr>
      <w:r>
        <w:rPr>
          <w:b/>
          <w:bCs/>
        </w:rPr>
        <w:t xml:space="preserve">4. Loss and Damage:</w:t>
      </w:r>
      <w:r>
        <w:t xml:space="preserve"> </w:t>
      </w:r>
      <w:r>
        <w:t xml:space="preserve">- Advisory Opinion membuka jalan bagi</w:t>
      </w:r>
      <w:r>
        <w:t xml:space="preserve"> </w:t>
      </w:r>
      <w:r>
        <w:rPr>
          <w:b/>
          <w:bCs/>
        </w:rPr>
        <w:t xml:space="preserve">klaim loss and damage</w:t>
      </w:r>
      <w:r>
        <w:t xml:space="preserve"> </w:t>
      </w:r>
      <w:r>
        <w:t xml:space="preserve">(kerugian dan kerusakan akibat perubahan iklim) yang lebih kuat</w:t>
      </w:r>
      <w:r>
        <w:t xml:space="preserve"> </w:t>
      </w:r>
      <w:r>
        <w:t xml:space="preserve">- Negara-negara maju yang secara historis berkontribusi besar terhadap emisi dapat dimintai pertanggungjawaban hukum</w:t>
      </w:r>
    </w:p>
    <w:p>
      <w:pPr>
        <w:pStyle w:val="BodyText"/>
      </w:pPr>
      <w:r>
        <w:rPr>
          <w:b/>
          <w:bCs/>
        </w:rPr>
        <w:t xml:space="preserve">Keterbatasan Advisory Opinion:</w:t>
      </w:r>
      <w:r>
        <w:t xml:space="preserve"> </w:t>
      </w:r>
      <w:r>
        <w:t xml:space="preserve">- Advisory Opinion</w:t>
      </w:r>
      <w:r>
        <w:t xml:space="preserve"> </w:t>
      </w:r>
      <w:r>
        <w:rPr>
          <w:b/>
          <w:bCs/>
        </w:rPr>
        <w:t xml:space="preserve">tidak mengikat secara langsung</w:t>
      </w:r>
      <w:r>
        <w:t xml:space="preserve"> </w:t>
      </w:r>
      <w:r>
        <w:t xml:space="preserve">(non-binding), tetapi memiliki</w:t>
      </w:r>
      <w:r>
        <w:t xml:space="preserve"> </w:t>
      </w:r>
      <w:r>
        <w:rPr>
          <w:b/>
          <w:bCs/>
        </w:rPr>
        <w:t xml:space="preserve">otoritas moral dan hukum yang tinggi</w:t>
      </w:r>
      <w:r>
        <w:t xml:space="preserve"> </w:t>
      </w:r>
      <w:r>
        <w:t xml:space="preserve">- Implementasinya bergantung pada good faith negara-negara dan tekanan politik internasional</w:t>
      </w:r>
      <w:r>
        <w:t xml:space="preserve"> </w:t>
      </w:r>
      <w:r>
        <w:t xml:space="preserve">- Tidak ada mekanisme penegakan langsung, kecuali melalui gugatan di pengadilan nasional atau internasional</w:t>
      </w:r>
    </w:p>
    <w:p>
      <w:pPr>
        <w:pStyle w:val="BodyText"/>
      </w:pPr>
      <w:r>
        <w:rPr>
          <w:b/>
          <w:bCs/>
        </w:rPr>
        <w:t xml:space="preserve">Sumber:</w:t>
      </w:r>
      <w:r>
        <w:t xml:space="preserve"> </w:t>
      </w:r>
      <w:r>
        <w:t xml:space="preserve">-</w:t>
      </w:r>
      <w:r>
        <w:t xml:space="preserve"> </w:t>
      </w:r>
      <w:hyperlink r:id="rId35">
        <w:r>
          <w:rPr>
            <w:rStyle w:val="Hyperlink"/>
          </w:rPr>
          <w:t xml:space="preserve">ICJ: Obligations of States in respect of Climate Change</w:t>
        </w:r>
      </w:hyperlink>
      <w:r>
        <w:t xml:space="preserve"> </w:t>
      </w:r>
      <w:r>
        <w:t xml:space="preserve">-</w:t>
      </w:r>
      <w:r>
        <w:t xml:space="preserve"> </w:t>
      </w:r>
      <w:hyperlink r:id="rId36">
        <w:r>
          <w:rPr>
            <w:rStyle w:val="Hyperlink"/>
          </w:rPr>
          <w:t xml:space="preserve">IISD: Historic ICJ Opinion Confirms States’ Climate Obligations</w:t>
        </w:r>
      </w:hyperlink>
      <w:r>
        <w:t xml:space="preserve"> </w:t>
      </w:r>
      <w:r>
        <w:t xml:space="preserve">-</w:t>
      </w:r>
      <w:r>
        <w:t xml:space="preserve"> </w:t>
      </w:r>
      <w:hyperlink r:id="rId37">
        <w:r>
          <w:rPr>
            <w:rStyle w:val="Hyperlink"/>
          </w:rPr>
          <w:t xml:space="preserve">Carbon Brief: ICJ advisory opinion on climate change</w:t>
        </w:r>
      </w:hyperlink>
    </w:p>
    <w:p>
      <w:r>
        <w:pict>
          <v:rect style="width:0;height:1.5pt" o:hralign="center" o:hrstd="t" o:hr="t"/>
        </w:pict>
      </w:r>
    </w:p>
    <w:p>
      <w:r>
        <w:pict>
          <v:rect style="width:0;height:1.5pt" o:hralign="center" o:hrstd="t" o:hr="t"/>
        </w:pict>
      </w:r>
    </w:p>
    <w:bookmarkEnd w:id="38"/>
    <w:bookmarkEnd w:id="39"/>
    <w:bookmarkEnd w:id="40"/>
    <w:bookmarkStart w:id="49" w:name="bagian-e-rubrik-penilaian-umum"/>
    <w:p>
      <w:pPr>
        <w:pStyle w:val="Heading2"/>
      </w:pPr>
      <w:r>
        <w:t xml:space="preserve">BAGIAN E: RUBRIK PENILAIAN UMUM</w:t>
      </w:r>
    </w:p>
    <w:bookmarkStart w:id="41" w:name="distribusi-nilai-per-pertanyaan"/>
    <w:p>
      <w:pPr>
        <w:pStyle w:val="Heading3"/>
      </w:pPr>
      <w:r>
        <w:t xml:space="preserve">1. Distribusi Nilai per Pertanyaan</w:t>
      </w:r>
    </w:p>
    <w:tbl>
      <w:tblPr>
        <w:tblStyle w:val="Table"/>
        <w:tblW w:type="pct" w:w="5000"/>
        <w:tblLayout w:type="fixed"/>
        <w:tblLook w:firstRow="1" w:lastRow="0" w:firstColumn="0" w:lastColumn="0" w:noHBand="0" w:noVBand="0" w:val="0020"/>
      </w:tblPr>
      <w:tblGrid>
        <w:gridCol w:w="1939"/>
        <w:gridCol w:w="1131"/>
        <w:gridCol w:w="2586"/>
        <w:gridCol w:w="2262"/>
      </w:tblGrid>
      <w:tr>
        <w:trPr>
          <w:tblHeader w:val="on"/>
        </w:trPr>
        <w:tc>
          <w:tcPr/>
          <w:p>
            <w:pPr>
              <w:pStyle w:val="Compact"/>
            </w:pPr>
            <w:r>
              <w:t xml:space="preserve">Pertanyaan</w:t>
            </w:r>
          </w:p>
        </w:tc>
        <w:tc>
          <w:tcPr/>
          <w:p>
            <w:pPr>
              <w:pStyle w:val="Compact"/>
            </w:pPr>
            <w:r>
              <w:t xml:space="preserve">Bobot</w:t>
            </w:r>
          </w:p>
        </w:tc>
        <w:tc>
          <w:tcPr/>
          <w:p>
            <w:pPr>
              <w:pStyle w:val="Compact"/>
            </w:pPr>
            <w:r>
              <w:t xml:space="preserve">Sub-Pertanyaan</w:t>
            </w:r>
          </w:p>
        </w:tc>
        <w:tc>
          <w:tcPr/>
          <w:p>
            <w:pPr>
              <w:pStyle w:val="Compact"/>
            </w:pPr>
            <w:r>
              <w:t xml:space="preserve">Bobot Detail</w:t>
            </w:r>
          </w:p>
        </w:tc>
      </w:tr>
      <w:tr>
        <w:tc>
          <w:tcPr/>
          <w:p>
            <w:pPr>
              <w:pStyle w:val="Compact"/>
            </w:pPr>
            <w:r>
              <w:rPr>
                <w:b/>
                <w:bCs/>
              </w:rPr>
              <w:t xml:space="preserve">Pertanyaan 1</w:t>
            </w:r>
          </w:p>
        </w:tc>
        <w:tc>
          <w:tcPr/>
          <w:p>
            <w:pPr>
              <w:pStyle w:val="Compact"/>
            </w:pPr>
            <w:r>
              <w:t xml:space="preserve">25%</w:t>
            </w:r>
          </w:p>
        </w:tc>
        <w:tc>
          <w:tcPr/>
          <w:p>
            <w:pPr>
              <w:pStyle w:val="Compact"/>
            </w:pPr>
            <w:r>
              <w:t xml:space="preserve">a) Dasar Hukum</w:t>
            </w:r>
            <w:r>
              <w:t xml:space="preserve">b) Standing Pemuda</w:t>
            </w:r>
            <w:r>
              <w:t xml:space="preserve">c) ICJ Advisory Opinion</w:t>
            </w:r>
          </w:p>
        </w:tc>
        <w:tc>
          <w:tcPr/>
          <w:p>
            <w:pPr>
              <w:pStyle w:val="Compact"/>
            </w:pPr>
            <w:r>
              <w:t xml:space="preserve">10%</w:t>
            </w:r>
            <w:r>
              <w:t xml:space="preserve">7%</w:t>
            </w:r>
            <w:r>
              <w:t xml:space="preserve">8%</w:t>
            </w:r>
          </w:p>
        </w:tc>
      </w:tr>
      <w:tr>
        <w:tc>
          <w:tcPr/>
          <w:p>
            <w:pPr>
              <w:pStyle w:val="Compact"/>
            </w:pPr>
            <w:r>
              <w:rPr>
                <w:b/>
                <w:bCs/>
              </w:rPr>
              <w:t xml:space="preserve">Pertanyaan 2</w:t>
            </w:r>
          </w:p>
        </w:tc>
        <w:tc>
          <w:tcPr/>
          <w:p>
            <w:pPr>
              <w:pStyle w:val="Compact"/>
            </w:pPr>
            <w:r>
              <w:t xml:space="preserve">20%</w:t>
            </w:r>
          </w:p>
        </w:tc>
        <w:tc>
          <w:tcPr/>
          <w:p>
            <w:pPr>
              <w:pStyle w:val="Compact"/>
            </w:pPr>
            <w:r>
              <w:t xml:space="preserve">a) Studi Atribusi</w:t>
            </w:r>
            <w:r>
              <w:t xml:space="preserve">b) Global Harm</w:t>
            </w:r>
            <w:r>
              <w:t xml:space="preserve">c) Preseden Kausalitas</w:t>
            </w:r>
          </w:p>
        </w:tc>
        <w:tc>
          <w:tcPr/>
          <w:p>
            <w:pPr>
              <w:pStyle w:val="Compact"/>
            </w:pPr>
            <w:r>
              <w:t xml:space="preserve">8%</w:t>
            </w:r>
            <w:r>
              <w:t xml:space="preserve">7%</w:t>
            </w:r>
            <w:r>
              <w:t xml:space="preserve">5%</w:t>
            </w:r>
          </w:p>
        </w:tc>
      </w:tr>
      <w:tr>
        <w:tc>
          <w:tcPr/>
          <w:p>
            <w:pPr>
              <w:pStyle w:val="Compact"/>
            </w:pPr>
            <w:r>
              <w:rPr>
                <w:b/>
                <w:bCs/>
              </w:rPr>
              <w:t xml:space="preserve">Pertanyaan 3</w:t>
            </w:r>
          </w:p>
        </w:tc>
        <w:tc>
          <w:tcPr/>
          <w:p>
            <w:pPr>
              <w:pStyle w:val="Compact"/>
            </w:pPr>
            <w:r>
              <w:t xml:space="preserve">20%</w:t>
            </w:r>
          </w:p>
        </w:tc>
        <w:tc>
          <w:tcPr/>
          <w:p>
            <w:pPr>
              <w:pStyle w:val="Compact"/>
            </w:pPr>
            <w:r>
              <w:t xml:space="preserve">a) Due Diligence</w:t>
            </w:r>
            <w:r>
              <w:t xml:space="preserve">b) Kegagalan Mitigasi</w:t>
            </w:r>
            <w:r>
              <w:t xml:space="preserve">c) Kegagalan Adaptasi</w:t>
            </w:r>
          </w:p>
        </w:tc>
        <w:tc>
          <w:tcPr/>
          <w:p>
            <w:pPr>
              <w:pStyle w:val="Compact"/>
            </w:pPr>
            <w:r>
              <w:t xml:space="preserve">8%</w:t>
            </w:r>
            <w:r>
              <w:t xml:space="preserve">6%</w:t>
            </w:r>
            <w:r>
              <w:t xml:space="preserve">6%</w:t>
            </w:r>
          </w:p>
        </w:tc>
      </w:tr>
      <w:tr>
        <w:tc>
          <w:tcPr/>
          <w:p>
            <w:pPr>
              <w:pStyle w:val="Compact"/>
            </w:pPr>
            <w:r>
              <w:rPr>
                <w:b/>
                <w:bCs/>
              </w:rPr>
              <w:t xml:space="preserve">Pertanyaan 4</w:t>
            </w:r>
          </w:p>
        </w:tc>
        <w:tc>
          <w:tcPr/>
          <w:p>
            <w:pPr>
              <w:pStyle w:val="Compact"/>
            </w:pPr>
            <w:r>
              <w:t xml:space="preserve">20%</w:t>
            </w:r>
          </w:p>
        </w:tc>
        <w:tc>
          <w:tcPr/>
          <w:p>
            <w:pPr>
              <w:pStyle w:val="Compact"/>
            </w:pPr>
            <w:r>
              <w:t xml:space="preserve">a) Duty of Care</w:t>
            </w:r>
            <w:r>
              <w:t xml:space="preserve">b) Shell Case Lessons</w:t>
            </w:r>
            <w:r>
              <w:t xml:space="preserve">c) HR Due Diligence</w:t>
            </w:r>
          </w:p>
        </w:tc>
        <w:tc>
          <w:tcPr/>
          <w:p>
            <w:pPr>
              <w:pStyle w:val="Compact"/>
            </w:pPr>
            <w:r>
              <w:t xml:space="preserve">8%</w:t>
            </w:r>
            <w:r>
              <w:t xml:space="preserve">7%</w:t>
            </w:r>
            <w:r>
              <w:t xml:space="preserve">5%</w:t>
            </w:r>
          </w:p>
        </w:tc>
      </w:tr>
      <w:tr>
        <w:tc>
          <w:tcPr/>
          <w:p>
            <w:pPr>
              <w:pStyle w:val="Compact"/>
            </w:pPr>
            <w:r>
              <w:rPr>
                <w:b/>
                <w:bCs/>
              </w:rPr>
              <w:t xml:space="preserve">Pertanyaan 5</w:t>
            </w:r>
          </w:p>
        </w:tc>
        <w:tc>
          <w:tcPr/>
          <w:p>
            <w:pPr>
              <w:pStyle w:val="Compact"/>
            </w:pPr>
            <w:r>
              <w:t xml:space="preserve">15%</w:t>
            </w:r>
          </w:p>
        </w:tc>
        <w:tc>
          <w:tcPr/>
          <w:p>
            <w:pPr>
              <w:pStyle w:val="Compact"/>
            </w:pPr>
            <w:r>
              <w:t xml:space="preserve">a) Forum Selection</w:t>
            </w:r>
            <w:r>
              <w:t xml:space="preserve">b) Realistic Remedies</w:t>
            </w:r>
            <w:r>
              <w:t xml:space="preserve">c) Risks &amp; Mitigation</w:t>
            </w:r>
          </w:p>
        </w:tc>
        <w:tc>
          <w:tcPr/>
          <w:p>
            <w:pPr>
              <w:pStyle w:val="Compact"/>
            </w:pPr>
            <w:r>
              <w:t xml:space="preserve">5%</w:t>
            </w:r>
            <w:r>
              <w:t xml:space="preserve">5%</w:t>
            </w:r>
            <w:r>
              <w:t xml:space="preserve">5%</w:t>
            </w:r>
          </w:p>
        </w:tc>
      </w:tr>
      <w:tr>
        <w:tc>
          <w:tcPr/>
          <w:p>
            <w:pPr>
              <w:pStyle w:val="Compact"/>
            </w:pPr>
            <w:r>
              <w:rPr>
                <w:b/>
                <w:bCs/>
              </w:rPr>
              <w:t xml:space="preserve">TOTAL</w:t>
            </w:r>
          </w:p>
        </w:tc>
        <w:tc>
          <w:tcPr/>
          <w:p>
            <w:pPr>
              <w:pStyle w:val="Compact"/>
            </w:pPr>
            <w:r>
              <w:rPr>
                <w:b/>
                <w:bCs/>
              </w:rPr>
              <w:t xml:space="preserve">100%</w:t>
            </w:r>
          </w:p>
        </w:tc>
        <w:tc>
          <w:tcPr/>
          <w:p>
            <w:pPr>
              <w:pStyle w:val="Compact"/>
            </w:pPr>
          </w:p>
        </w:tc>
        <w:tc>
          <w:tcPr/>
          <w:p>
            <w:pPr>
              <w:pStyle w:val="Compact"/>
            </w:pPr>
          </w:p>
        </w:tc>
      </w:tr>
    </w:tbl>
    <w:p>
      <w:r>
        <w:pict>
          <v:rect style="width:0;height:1.5pt" o:hralign="center" o:hrstd="t" o:hr="t"/>
        </w:pict>
      </w:r>
    </w:p>
    <w:bookmarkEnd w:id="41"/>
    <w:bookmarkStart w:id="47" w:name="X01e08cc1d9d4279f6c631add7367d7e8ed1e8fb"/>
    <w:p>
      <w:pPr>
        <w:pStyle w:val="Heading3"/>
      </w:pPr>
      <w:r>
        <w:t xml:space="preserve">2. Kriteria Penilaian Kualitatif (Berlaku untuk Semua Pertanyaan)</w:t>
      </w:r>
    </w:p>
    <w:bookmarkStart w:id="42" w:name="level-a-85-100"/>
    <w:p>
      <w:pPr>
        <w:pStyle w:val="Heading4"/>
      </w:pPr>
      <w:r>
        <w:t xml:space="preserve">Level A (85-100)</w:t>
      </w:r>
    </w:p>
    <w:p>
      <w:pPr>
        <w:pStyle w:val="FirstParagraph"/>
      </w:pPr>
      <w:r>
        <w:rPr>
          <w:b/>
          <w:bCs/>
        </w:rPr>
        <w:t xml:space="preserve">Karakteristik:</w:t>
      </w:r>
      <w:r>
        <w:t xml:space="preserve"> </w:t>
      </w:r>
      <w:r>
        <w:t xml:space="preserve">-</w:t>
      </w:r>
      <w:r>
        <w:t xml:space="preserve"> </w:t>
      </w:r>
      <w:r>
        <w:rPr>
          <w:b/>
          <w:bCs/>
        </w:rPr>
        <w:t xml:space="preserve">Penguasaan Materi (40%):</w:t>
      </w:r>
      <w:r>
        <w:t xml:space="preserve"> </w:t>
      </w:r>
      <w:r>
        <w:t xml:space="preserve">- Pemahaman mendalam dan akurat tentang semua konsep hukum yang relevan</w:t>
      </w:r>
      <w:r>
        <w:t xml:space="preserve"> </w:t>
      </w:r>
      <w:r>
        <w:t xml:space="preserve">- Integrasi sempurna materi dari berbagai BAB (misal: menghubungkan BAB 3, 7, 11, 16)</w:t>
      </w:r>
      <w:r>
        <w:t xml:space="preserve"> </w:t>
      </w:r>
      <w:r>
        <w:t xml:space="preserve">- Terminologi hukum digunakan dengan tepat dan konsisten</w:t>
      </w:r>
    </w:p>
    <w:p>
      <w:pPr>
        <w:pStyle w:val="Compact"/>
        <w:numPr>
          <w:ilvl w:val="0"/>
          <w:numId w:val="1002"/>
        </w:numPr>
      </w:pPr>
      <w:r>
        <w:rPr>
          <w:b/>
          <w:bCs/>
        </w:rPr>
        <w:t xml:space="preserve">Analisis &amp; Argumentasi (35%):</w:t>
      </w:r>
    </w:p>
    <w:p>
      <w:pPr>
        <w:pStyle w:val="Compact"/>
        <w:numPr>
          <w:ilvl w:val="1"/>
          <w:numId w:val="1003"/>
        </w:numPr>
      </w:pPr>
      <w:r>
        <w:t xml:space="preserve">Identifikasi semua isu hukum kunci, termasuk nuansa yang subtle</w:t>
      </w:r>
    </w:p>
    <w:p>
      <w:pPr>
        <w:pStyle w:val="Compact"/>
        <w:numPr>
          <w:ilvl w:val="1"/>
          <w:numId w:val="1003"/>
        </w:numPr>
      </w:pPr>
      <w:r>
        <w:t xml:space="preserve">Argumentasi multi-lapis dengan pertimbangan counterarguments</w:t>
      </w:r>
    </w:p>
    <w:p>
      <w:pPr>
        <w:pStyle w:val="Compact"/>
        <w:numPr>
          <w:ilvl w:val="1"/>
          <w:numId w:val="1003"/>
        </w:numPr>
      </w:pPr>
      <w:r>
        <w:t xml:space="preserve">Perbandingan preseden yang sophisticated dan relevan</w:t>
      </w:r>
    </w:p>
    <w:p>
      <w:pPr>
        <w:pStyle w:val="Compact"/>
        <w:numPr>
          <w:ilvl w:val="1"/>
          <w:numId w:val="1003"/>
        </w:numPr>
      </w:pPr>
      <w:r>
        <w:t xml:space="preserve">Reasoning yang logis dan sistematis (misal: struktur IRAC jelas)</w:t>
      </w:r>
    </w:p>
    <w:p>
      <w:pPr>
        <w:pStyle w:val="Compact"/>
        <w:numPr>
          <w:ilvl w:val="0"/>
          <w:numId w:val="1002"/>
        </w:numPr>
      </w:pPr>
      <w:r>
        <w:rPr>
          <w:b/>
          <w:bCs/>
        </w:rPr>
        <w:t xml:space="preserve">Penggunaan Sumber (15%):</w:t>
      </w:r>
    </w:p>
    <w:p>
      <w:pPr>
        <w:pStyle w:val="Compact"/>
        <w:numPr>
          <w:ilvl w:val="1"/>
          <w:numId w:val="1004"/>
        </w:numPr>
      </w:pPr>
      <w:r>
        <w:t xml:space="preserve">Citasi lengkap, akurat, dan strategis (tidak sekedar kutip, tapi diintegrasikan)</w:t>
      </w:r>
    </w:p>
    <w:p>
      <w:pPr>
        <w:pStyle w:val="Compact"/>
        <w:numPr>
          <w:ilvl w:val="1"/>
          <w:numId w:val="1004"/>
        </w:numPr>
      </w:pPr>
      <w:r>
        <w:t xml:space="preserve">Preseden dari Bagian A dianalisis, bukan hanya disebutkan</w:t>
      </w:r>
    </w:p>
    <w:p>
      <w:pPr>
        <w:pStyle w:val="Compact"/>
        <w:numPr>
          <w:ilvl w:val="1"/>
          <w:numId w:val="1004"/>
        </w:numPr>
      </w:pPr>
      <w:r>
        <w:t xml:space="preserve">Bukti ilmiah (studi atribusi) digunakan dengan pemahaman metodologi</w:t>
      </w:r>
    </w:p>
    <w:p>
      <w:pPr>
        <w:pStyle w:val="Compact"/>
        <w:numPr>
          <w:ilvl w:val="0"/>
          <w:numId w:val="1002"/>
        </w:numPr>
      </w:pPr>
      <w:r>
        <w:rPr>
          <w:b/>
          <w:bCs/>
        </w:rPr>
        <w:t xml:space="preserve">Kepraktisan (10%):</w:t>
      </w:r>
    </w:p>
    <w:p>
      <w:pPr>
        <w:pStyle w:val="Compact"/>
        <w:numPr>
          <w:ilvl w:val="1"/>
          <w:numId w:val="1005"/>
        </w:numPr>
      </w:pPr>
      <w:r>
        <w:t xml:space="preserve">Mempertimbangkan realitas sistem hukum Indonesia</w:t>
      </w:r>
    </w:p>
    <w:p>
      <w:pPr>
        <w:pStyle w:val="Compact"/>
        <w:numPr>
          <w:ilvl w:val="1"/>
          <w:numId w:val="1005"/>
        </w:numPr>
      </w:pPr>
      <w:r>
        <w:t xml:space="preserve">Mengakui keterbatasan dan trade-offs</w:t>
      </w:r>
    </w:p>
    <w:p>
      <w:pPr>
        <w:pStyle w:val="Compact"/>
        <w:numPr>
          <w:ilvl w:val="1"/>
          <w:numId w:val="1005"/>
        </w:numPr>
      </w:pPr>
      <w:r>
        <w:t xml:space="preserve">Memberikan rekomendasi yang feasible dan strategis</w:t>
      </w:r>
    </w:p>
    <w:p>
      <w:pPr>
        <w:pStyle w:val="FirstParagraph"/>
      </w:pPr>
      <w:r>
        <w:rPr>
          <w:b/>
          <w:bCs/>
        </w:rPr>
        <w:t xml:space="preserve">Contoh Kualitas Jawaban Level A:</w:t>
      </w:r>
      <w:r>
        <w:t xml:space="preserve"> </w:t>
      </w:r>
      <w:r>
        <w:t xml:space="preserve">&gt;</w:t>
      </w:r>
      <w:r>
        <w:t xml:space="preserve"> </w:t>
      </w:r>
      <w:r>
        <w:t xml:space="preserve">“Meskipun ICJ Advisory Opinion 2025 secara teknis non-binding, ia memiliki kekuatan persuasif tinggi dalam konteks domestik karena tiga alasan: Pertama, sebagai interpretasi otoritatif atas hukum kebiasaan internasional, ia dapat digunakan untuk menafsirkan kewajiban Indonesia yang telah meratifikasi Paris Agreement (UU 16/2016). Pengadilan Indonesia telah menggunakan penafsiran serupa dalam kasus [X]. Kedua, Advisory Opinion dapat memperkuat argumen bahwa target 1,5°C adalah kewajiban hukum yang mengikat, bukan hanya aspirasi politik, sehingga kelalaian pemerintah mencapai target ini dapat dikualifikasi sebagai perbuatan melawan hukum. Ketiga…”</w:t>
      </w:r>
    </w:p>
    <w:bookmarkEnd w:id="42"/>
    <w:bookmarkStart w:id="43" w:name="level-b-70-84"/>
    <w:p>
      <w:pPr>
        <w:pStyle w:val="Heading4"/>
      </w:pPr>
      <w:r>
        <w:t xml:space="preserve">Level B (70-84)</w:t>
      </w:r>
    </w:p>
    <w:p>
      <w:pPr>
        <w:pStyle w:val="FirstParagraph"/>
      </w:pPr>
      <w:r>
        <w:rPr>
          <w:b/>
          <w:bCs/>
        </w:rPr>
        <w:t xml:space="preserve">Karakteristik:</w:t>
      </w:r>
      <w:r>
        <w:t xml:space="preserve"> </w:t>
      </w:r>
      <w:r>
        <w:t xml:space="preserve">- Pemahaman baik dengan coverage yang luas</w:t>
      </w:r>
      <w:r>
        <w:t xml:space="preserve"> </w:t>
      </w:r>
      <w:r>
        <w:t xml:space="preserve">- Analisis solid meskipun mungkin kurang mendalam di beberapa aspek</w:t>
      </w:r>
      <w:r>
        <w:t xml:space="preserve"> </w:t>
      </w:r>
      <w:r>
        <w:t xml:space="preserve">- Integrasi preseden ada tetapi tidak selalu optimal</w:t>
      </w:r>
      <w:r>
        <w:t xml:space="preserve"> </w:t>
      </w:r>
      <w:r>
        <w:t xml:space="preserve">- Citasi umumnya akurat meskipun mungkin tidak lengkap</w:t>
      </w:r>
      <w:r>
        <w:t xml:space="preserve"> </w:t>
      </w:r>
      <w:r>
        <w:t xml:space="preserve">- Kepraktisan dipertimbangkan meskipun tidak selalu detail</w:t>
      </w:r>
    </w:p>
    <w:p>
      <w:pPr>
        <w:pStyle w:val="BodyText"/>
      </w:pPr>
      <w:r>
        <w:rPr>
          <w:b/>
          <w:bCs/>
        </w:rPr>
        <w:t xml:space="preserve">Contoh Kualitas Jawaban Level B:</w:t>
      </w:r>
      <w:r>
        <w:t xml:space="preserve"> </w:t>
      </w:r>
      <w:r>
        <w:t xml:space="preserve">&gt;</w:t>
      </w:r>
      <w:r>
        <w:t xml:space="preserve"> </w:t>
      </w:r>
      <w:r>
        <w:t xml:space="preserve">“ICJ Advisory Opinion dapat digunakan dalam litigasi domestik karena Indonesia telah meratifikasi Paris Agreement. Advisory Opinion menyatakan bahwa target 1,5°C adalah kewajiban hukum. Meskipun non-binding, pengadilan Indonesia dapat menggunakannya sebagai referensi untuk menafsirkan kewajiban pemerintah.”</w:t>
      </w:r>
    </w:p>
    <w:bookmarkEnd w:id="43"/>
    <w:bookmarkStart w:id="44" w:name="level-c-56-69"/>
    <w:p>
      <w:pPr>
        <w:pStyle w:val="Heading4"/>
      </w:pPr>
      <w:r>
        <w:t xml:space="preserve">Level C (56-69)</w:t>
      </w:r>
    </w:p>
    <w:p>
      <w:pPr>
        <w:pStyle w:val="FirstParagraph"/>
      </w:pPr>
      <w:r>
        <w:rPr>
          <w:b/>
          <w:bCs/>
        </w:rPr>
        <w:t xml:space="preserve">Karakteristik:</w:t>
      </w:r>
      <w:r>
        <w:t xml:space="preserve"> </w:t>
      </w:r>
      <w:r>
        <w:t xml:space="preserve">- Pemahaman dasar memadai tetapi tidak komprehensif</w:t>
      </w:r>
      <w:r>
        <w:t xml:space="preserve"> </w:t>
      </w:r>
      <w:r>
        <w:t xml:space="preserve">- Analisis ada tetapi cenderung deskriptif, kurang analitis</w:t>
      </w:r>
      <w:r>
        <w:t xml:space="preserve"> </w:t>
      </w:r>
      <w:r>
        <w:t xml:space="preserve">- Preseden disebutkan tetapi tidak dianalisis secara mendalam</w:t>
      </w:r>
      <w:r>
        <w:t xml:space="preserve"> </w:t>
      </w:r>
      <w:r>
        <w:t xml:space="preserve">- Citasi tidak lengkap atau kadang tidak akurat</w:t>
      </w:r>
      <w:r>
        <w:t xml:space="preserve"> </w:t>
      </w:r>
      <w:r>
        <w:t xml:space="preserve">- Kepraktisan kurang dipertimbangkan</w:t>
      </w:r>
    </w:p>
    <w:p>
      <w:pPr>
        <w:pStyle w:val="BodyText"/>
      </w:pPr>
      <w:r>
        <w:rPr>
          <w:b/>
          <w:bCs/>
        </w:rPr>
        <w:t xml:space="preserve">Contoh Kualitas Jawaban Level C:</w:t>
      </w:r>
      <w:r>
        <w:t xml:space="preserve"> </w:t>
      </w:r>
      <w:r>
        <w:t xml:space="preserve">&gt;</w:t>
      </w:r>
      <w:r>
        <w:t xml:space="preserve"> </w:t>
      </w:r>
      <w:r>
        <w:t xml:space="preserve">“ICJ Advisory Opinion bisa dipakai di Indonesia karena penting. Advisory Opinion bilang negara harus lindungi iklim. Ini bisa jadi dasar gugatan.”</w:t>
      </w:r>
    </w:p>
    <w:bookmarkEnd w:id="44"/>
    <w:bookmarkStart w:id="45" w:name="level-d-40-55"/>
    <w:p>
      <w:pPr>
        <w:pStyle w:val="Heading4"/>
      </w:pPr>
      <w:r>
        <w:t xml:space="preserve">Level D (40-55)</w:t>
      </w:r>
    </w:p>
    <w:p>
      <w:pPr>
        <w:pStyle w:val="FirstParagraph"/>
      </w:pPr>
      <w:r>
        <w:rPr>
          <w:b/>
          <w:bCs/>
        </w:rPr>
        <w:t xml:space="preserve">Karakteristik:</w:t>
      </w:r>
      <w:r>
        <w:t xml:space="preserve"> </w:t>
      </w:r>
      <w:r>
        <w:t xml:space="preserve">- Pemahaman terbatas atau tidak akurat</w:t>
      </w:r>
      <w:r>
        <w:t xml:space="preserve"> </w:t>
      </w:r>
      <w:r>
        <w:t xml:space="preserve">- Analisis dangkal atau tidak sistematis</w:t>
      </w:r>
      <w:r>
        <w:t xml:space="preserve"> </w:t>
      </w:r>
      <w:r>
        <w:t xml:space="preserve">- Preseden tidak relevan atau tidak digunakan dengan tepat</w:t>
      </w:r>
      <w:r>
        <w:t xml:space="preserve"> </w:t>
      </w:r>
      <w:r>
        <w:t xml:space="preserve">- Citasi minim atau tidak ada</w:t>
      </w:r>
      <w:r>
        <w:t xml:space="preserve"> </w:t>
      </w:r>
      <w:r>
        <w:t xml:space="preserve">- Tidak mempertimbangkan kepraktisan</w:t>
      </w:r>
    </w:p>
    <w:bookmarkEnd w:id="45"/>
    <w:bookmarkStart w:id="46" w:name="level-e-40"/>
    <w:p>
      <w:pPr>
        <w:pStyle w:val="Heading4"/>
      </w:pPr>
      <w:r>
        <w:t xml:space="preserve">Level E (&lt;40)</w:t>
      </w:r>
    </w:p>
    <w:p>
      <w:pPr>
        <w:pStyle w:val="FirstParagraph"/>
      </w:pPr>
      <w:r>
        <w:rPr>
          <w:b/>
          <w:bCs/>
        </w:rPr>
        <w:t xml:space="preserve">Karakteristik:</w:t>
      </w:r>
      <w:r>
        <w:t xml:space="preserve"> </w:t>
      </w:r>
      <w:r>
        <w:t xml:space="preserve">- Pemahaman sangat kurang atau salah konsep fundamental</w:t>
      </w:r>
      <w:r>
        <w:t xml:space="preserve"> </w:t>
      </w:r>
      <w:r>
        <w:t xml:space="preserve">- Tidak ada analisis yang berarti</w:t>
      </w:r>
      <w:r>
        <w:t xml:space="preserve"> </w:t>
      </w:r>
      <w:r>
        <w:t xml:space="preserve">- Tidak menggunakan sumber atau preseden</w:t>
      </w:r>
      <w:r>
        <w:t xml:space="preserve"> </w:t>
      </w:r>
      <w:r>
        <w:t xml:space="preserve">- Jawaban tidak menjawab pertanyaan yang diajukan</w:t>
      </w:r>
    </w:p>
    <w:p>
      <w:r>
        <w:pict>
          <v:rect style="width:0;height:1.5pt" o:hralign="center" o:hrstd="t" o:hr="t"/>
        </w:pict>
      </w:r>
    </w:p>
    <w:bookmarkEnd w:id="46"/>
    <w:bookmarkEnd w:id="47"/>
    <w:bookmarkStart w:id="48" w:name="red-flags-tanda-peringatan-untuk-dosen"/>
    <w:p>
      <w:pPr>
        <w:pStyle w:val="Heading3"/>
      </w:pPr>
      <w:r>
        <w:t xml:space="preserve">3. Red Flags (Tanda Peringatan untuk Dosen)</w:t>
      </w:r>
    </w:p>
    <w:p>
      <w:pPr>
        <w:pStyle w:val="FirstParagraph"/>
      </w:pPr>
      <w:r>
        <w:rPr>
          <w:b/>
          <w:bCs/>
        </w:rPr>
        <w:t xml:space="preserve">Indikasi Ketidakjujuran Akademik:</w:t>
      </w:r>
      <w:r>
        <w:t xml:space="preserve"> </w:t>
      </w:r>
      <w:r>
        <w:t xml:space="preserve">- [ ] Gaya penulisan tiba-tiba berubah drastis antar bagian</w:t>
      </w:r>
      <w:r>
        <w:t xml:space="preserve"> </w:t>
      </w:r>
      <w:r>
        <w:t xml:space="preserve">- [ ] Kutipan tanpa tanda kutip atau citasi (plagiarisme)</w:t>
      </w:r>
      <w:r>
        <w:t xml:space="preserve"> </w:t>
      </w:r>
      <w:r>
        <w:t xml:space="preserve">- [ ] Referensi sumber yang tidak ada dalam materi kuliah atau Bagian A (kemungkinan akses internet)</w:t>
      </w:r>
      <w:r>
        <w:t xml:space="preserve"> </w:t>
      </w:r>
      <w:r>
        <w:t xml:space="preserve">- [ ] Bahasa yang terlalu</w:t>
      </w:r>
      <w:r>
        <w:t xml:space="preserve"> </w:t>
      </w:r>
      <w:r>
        <w:t xml:space="preserve">“sempurna”</w:t>
      </w:r>
      <w:r>
        <w:t xml:space="preserve"> </w:t>
      </w:r>
      <w:r>
        <w:t xml:space="preserve">atau formal untuk level S2 (kemungkinan AI-generated)</w:t>
      </w:r>
      <w:r>
        <w:t xml:space="preserve"> </w:t>
      </w:r>
      <w:r>
        <w:t xml:space="preserve">- [ ] Identitas jawaban dengan mahasiswa lain (kolusi)</w:t>
      </w:r>
    </w:p>
    <w:p>
      <w:pPr>
        <w:pStyle w:val="BodyText"/>
      </w:pPr>
      <w:r>
        <w:rPr>
          <w:b/>
          <w:bCs/>
        </w:rPr>
        <w:t xml:space="preserve">Kesalahan Konseptual Serius (harus diberi feedback):</w:t>
      </w:r>
      <w:r>
        <w:t xml:space="preserve"> </w:t>
      </w:r>
      <w:r>
        <w:t xml:space="preserve">- [ ] Salah memahami perbedaan antara mitigasi dan adaptasi</w:t>
      </w:r>
      <w:r>
        <w:t xml:space="preserve"> </w:t>
      </w:r>
      <w:r>
        <w:t xml:space="preserve">- [ ] Mengacaukan standing dalam gugatan perdata vs. TUN</w:t>
      </w:r>
      <w:r>
        <w:t xml:space="preserve"> </w:t>
      </w:r>
      <w:r>
        <w:t xml:space="preserve">- [ ] Tidak memahami perbedaan antara kewajiban negara vs. korporasi</w:t>
      </w:r>
      <w:r>
        <w:t xml:space="preserve"> </w:t>
      </w:r>
      <w:r>
        <w:t xml:space="preserve">- [ ] Salah menginterpretasikan kausalitas (misal: menganggap atribusi 30-40% = causation lengkap)</w:t>
      </w:r>
    </w:p>
    <w:p>
      <w:r>
        <w:pict>
          <v:rect style="width:0;height:1.5pt" o:hralign="center" o:hrstd="t" o:hr="t"/>
        </w:pict>
      </w:r>
    </w:p>
    <w:bookmarkEnd w:id="48"/>
    <w:bookmarkEnd w:id="49"/>
    <w:bookmarkStart w:id="58" w:name="bagian-e-model-jawaban-per-pertanyaan"/>
    <w:p>
      <w:pPr>
        <w:pStyle w:val="Heading2"/>
      </w:pPr>
      <w:r>
        <w:t xml:space="preserve">BAGIAN E: MODEL JAWABAN PER PERTANYAAN</w:t>
      </w:r>
    </w:p>
    <w:bookmarkStart w:id="53" w:name="pertanyaan-1-dasar-hukum-dan-standing-25"/>
    <w:p>
      <w:pPr>
        <w:pStyle w:val="Heading3"/>
      </w:pPr>
      <w:r>
        <w:t xml:space="preserve">PERTANYAAN 1: Dasar Hukum dan Standing (25%)</w:t>
      </w:r>
    </w:p>
    <w:bookmarkStart w:id="50" w:name="sub-pertanyaan-1a-dasar-hukum-gugatan-10"/>
    <w:p>
      <w:pPr>
        <w:pStyle w:val="Heading4"/>
      </w:pPr>
      <w:r>
        <w:t xml:space="preserve">Sub-Pertanyaan 1a: Dasar Hukum Gugatan (10%)</w:t>
      </w:r>
    </w:p>
    <w:p>
      <w:pPr>
        <w:pStyle w:val="FirstParagraph"/>
      </w:pPr>
      <w:r>
        <w:rPr>
          <w:b/>
          <w:bCs/>
        </w:rPr>
        <w:t xml:space="preserve">Jawaban Model (Level A):</w:t>
      </w:r>
    </w:p>
    <w:p>
      <w:pPr>
        <w:pStyle w:val="BodyText"/>
      </w:pPr>
      <w:r>
        <w:t xml:space="preserve">Para penggugat dapat menggunakan beberapa dasar hukum yang saling memperkuat. Berikut adalah tiga dasar hukum terkuat:</w:t>
      </w:r>
    </w:p>
    <w:p>
      <w:pPr>
        <w:pStyle w:val="BodyText"/>
      </w:pPr>
      <w:r>
        <w:rPr>
          <w:b/>
          <w:bCs/>
        </w:rPr>
        <w:t xml:space="preserve">1. UUD 1945 Pasal 28H ayat (1) — Hak Konstitusional atas Lingkungan Sehat (Dasar Hukum Konstitusional)</w:t>
      </w:r>
    </w:p>
    <w:p>
      <w:pPr>
        <w:pStyle w:val="BodyText"/>
      </w:pPr>
      <w:r>
        <w:rPr>
          <w:i/>
          <w:iCs/>
        </w:rPr>
        <w:t xml:space="preserve">Bunyi Pasal:</w:t>
      </w:r>
      <w:r>
        <w:t xml:space="preserve"> </w:t>
      </w:r>
      <w:r>
        <w:t xml:space="preserve">&gt;</w:t>
      </w:r>
      <w:r>
        <w:t xml:space="preserve"> </w:t>
      </w:r>
      <w:r>
        <w:t xml:space="preserve">“Setiap orang berhak hidup sejahtera lahir dan batin, bertempat tinggal, dan mendapatkan lingkungan hidup yang baik dan sehat serta berhak memperoleh pelayanan kesehatan.”</w:t>
      </w:r>
    </w:p>
    <w:p>
      <w:pPr>
        <w:pStyle w:val="BodyText"/>
      </w:pPr>
      <w:r>
        <w:rPr>
          <w:i/>
          <w:iCs/>
        </w:rPr>
        <w:t xml:space="preserve">Aplikasi dalam Kasus Barito:</w:t>
      </w:r>
      <w:r>
        <w:t xml:space="preserve"> </w:t>
      </w:r>
      <w:r>
        <w:t xml:space="preserve">Para penggugat dapat berargumen bahwa kelalaian para tergugat dalam mengatasi perubahan iklim telah melanggar hak konstitusional mereka atas lingkungan yang baik dan sehat. Banjir ekstrem yang diperberat oleh perubahan iklim secara langsung mengancam hak atas kehidupan (47 korban meninggal), kesehatan (320 luka-luka, penyakit pasca-banjir), dan tempat tinggal (14.850 mengungsi, ribuan rumah rusak).</w:t>
      </w:r>
    </w:p>
    <w:p>
      <w:pPr>
        <w:pStyle w:val="BodyText"/>
      </w:pPr>
      <w:r>
        <w:rPr>
          <w:i/>
          <w:iCs/>
        </w:rPr>
        <w:t xml:space="preserve">Kekuatan:</w:t>
      </w:r>
      <w:r>
        <w:t xml:space="preserve"> </w:t>
      </w:r>
      <w:r>
        <w:t xml:space="preserve">-</w:t>
      </w:r>
      <w:r>
        <w:t xml:space="preserve"> </w:t>
      </w:r>
      <w:r>
        <w:rPr>
          <w:b/>
          <w:bCs/>
        </w:rPr>
        <w:t xml:space="preserve">Hierarki norma tertinggi:</w:t>
      </w:r>
      <w:r>
        <w:t xml:space="preserve"> </w:t>
      </w:r>
      <w:r>
        <w:t xml:space="preserve">Sebagai norma konstitusional, UUD 1945 berada di puncak hierarki peraturan perundang-undangan Indonesia (UU 12/2011 Pasal 7)</w:t>
      </w:r>
      <w:r>
        <w:t xml:space="preserve"> </w:t>
      </w:r>
      <w:r>
        <w:t xml:space="preserve">-</w:t>
      </w:r>
      <w:r>
        <w:t xml:space="preserve"> </w:t>
      </w:r>
      <w:r>
        <w:rPr>
          <w:b/>
          <w:bCs/>
        </w:rPr>
        <w:t xml:space="preserve">Preseden Jakarta Air Pollution:</w:t>
      </w:r>
      <w:r>
        <w:t xml:space="preserve"> </w:t>
      </w:r>
      <w:r>
        <w:t xml:space="preserve">Pengadilan Negeri Jakarta Pusat dalam perkara 374/Pdt.G/LH/2019 telah mengabulkan gugatan warga berdasarkan Pasal 28H ayat (1), menetapkan bahwa negara memiliki kewajiban konstitusional untuk melindungi hak warga atas lingkungan sehat</w:t>
      </w:r>
      <w:r>
        <w:t xml:space="preserve"> </w:t>
      </w:r>
      <w:r>
        <w:t xml:space="preserve">-</w:t>
      </w:r>
      <w:r>
        <w:t xml:space="preserve"> </w:t>
      </w:r>
      <w:r>
        <w:rPr>
          <w:b/>
          <w:bCs/>
        </w:rPr>
        <w:t xml:space="preserve">Kewajiban positif negara:</w:t>
      </w:r>
      <w:r>
        <w:t xml:space="preserve"> </w:t>
      </w:r>
      <w:r>
        <w:t xml:space="preserve">Pasal 28I ayat (4) UUD 1945 menegaskan bahwa</w:t>
      </w:r>
      <w:r>
        <w:t xml:space="preserve"> </w:t>
      </w:r>
      <w:r>
        <w:t xml:space="preserve">“perlindungan, pemajuan, penegakan, dan pemenuhan hak asasi manusia adalah tanggung jawab negara, terutama pemerintah”</w:t>
      </w:r>
      <w:r>
        <w:t xml:space="preserve"> </w:t>
      </w:r>
      <w:r>
        <w:t xml:space="preserve">— ini menciptakan kewajiban positif (positive obligation) bagi Tergugat I-IV</w:t>
      </w:r>
      <w:r>
        <w:t xml:space="preserve"> </w:t>
      </w:r>
      <w:r>
        <w:t xml:space="preserve">-</w:t>
      </w:r>
      <w:r>
        <w:t xml:space="preserve"> </w:t>
      </w:r>
      <w:r>
        <w:rPr>
          <w:b/>
          <w:bCs/>
        </w:rPr>
        <w:t xml:space="preserve">Justiciability:</w:t>
      </w:r>
      <w:r>
        <w:t xml:space="preserve"> </w:t>
      </w:r>
      <w:r>
        <w:t xml:space="preserve">Mahkamah Konstitusi telah menegaskan dalam berbagai putusan bahwa hak konstitusional adalah justiciable (dapat ditegakkan melalui pengadilan)</w:t>
      </w:r>
    </w:p>
    <w:p>
      <w:pPr>
        <w:pStyle w:val="BodyText"/>
      </w:pPr>
      <w:r>
        <w:rPr>
          <w:i/>
          <w:iCs/>
        </w:rPr>
        <w:t xml:space="preserve">Kelemahan:</w:t>
      </w:r>
      <w:r>
        <w:t xml:space="preserve"> </w:t>
      </w:r>
      <w:r>
        <w:t xml:space="preserve">-</w:t>
      </w:r>
      <w:r>
        <w:t xml:space="preserve"> </w:t>
      </w:r>
      <w:r>
        <w:rPr>
          <w:b/>
          <w:bCs/>
        </w:rPr>
        <w:t xml:space="preserve">Abstraksi tinggi:</w:t>
      </w:r>
      <w:r>
        <w:t xml:space="preserve"> </w:t>
      </w:r>
      <w:r>
        <w:t xml:space="preserve">Pasal 28H ayat (1) bersifat umum dan tidak menyebutkan secara spesifik kewajiban terkait perubahan iklim. Pengadilan mungkin memerlukan interpretasi lebih lanjut untuk menghubungkan hak atas lingkungan sehat dengan kewajiban perlindungan iklim</w:t>
      </w:r>
      <w:r>
        <w:t xml:space="preserve"> </w:t>
      </w:r>
      <w:r>
        <w:t xml:space="preserve">-</w:t>
      </w:r>
      <w:r>
        <w:t xml:space="preserve"> </w:t>
      </w:r>
      <w:r>
        <w:rPr>
          <w:b/>
          <w:bCs/>
        </w:rPr>
        <w:t xml:space="preserve">Separation of powers:</w:t>
      </w:r>
      <w:r>
        <w:t xml:space="preserve"> </w:t>
      </w:r>
      <w:r>
        <w:t xml:space="preserve">Tergugat mungkin berargumen bahwa menentukan kebijakan iklim adalah domain eksekutif dan legislatif, bukan yudikatif. Namun, argumen ini dapat dijawab dengan preseden Jakarta (pengadilan dapat memerintahkan tindakan konkret tanpa melanggar pemisahan kekuasaan)</w:t>
      </w:r>
    </w:p>
    <w:p>
      <w:pPr>
        <w:pStyle w:val="BodyText"/>
      </w:pPr>
      <w:r>
        <w:rPr>
          <w:i/>
          <w:iCs/>
        </w:rPr>
        <w:t xml:space="preserve">Preseden Pendukung:</w:t>
      </w:r>
      <w:r>
        <w:t xml:space="preserve"> </w:t>
      </w:r>
      <w:r>
        <w:t xml:space="preserve">-</w:t>
      </w:r>
      <w:r>
        <w:t xml:space="preserve"> </w:t>
      </w:r>
      <w:r>
        <w:rPr>
          <w:b/>
          <w:bCs/>
        </w:rPr>
        <w:t xml:space="preserve">Jakarta Air Pollution Case (2021-2023):</w:t>
      </w:r>
      <w:r>
        <w:t xml:space="preserve"> </w:t>
      </w:r>
      <w:r>
        <w:t xml:space="preserve">Menggunakan Pasal 28H sebagai dasar utama, berhasil memenangkan gugatan dan memerintahkan pemerintah melaksanakan 13 tindakan perbaikan</w:t>
      </w:r>
      <w:r>
        <w:t xml:space="preserve"> </w:t>
      </w:r>
      <w:r>
        <w:t xml:space="preserve">-</w:t>
      </w:r>
      <w:r>
        <w:t xml:space="preserve"> </w:t>
      </w:r>
      <w:r>
        <w:rPr>
          <w:b/>
          <w:bCs/>
        </w:rPr>
        <w:t xml:space="preserve">Urgenda v. Netherlands (2019):</w:t>
      </w:r>
      <w:r>
        <w:t xml:space="preserve"> </w:t>
      </w:r>
      <w:r>
        <w:t xml:space="preserve">Meskipun konteks Belanda, pengadilan menggunakan pendekatan hak asasi manusia (ECHR Pasal 2 dan 8) yang analog dengan Pasal 28H Indonesia</w:t>
      </w:r>
    </w:p>
    <w:p>
      <w:r>
        <w:pict>
          <v:rect style="width:0;height:1.5pt" o:hralign="center" o:hrstd="t" o:hr="t"/>
        </w:pict>
      </w:r>
    </w:p>
    <w:p>
      <w:pPr>
        <w:pStyle w:val="FirstParagraph"/>
      </w:pPr>
      <w:r>
        <w:rPr>
          <w:b/>
          <w:bCs/>
        </w:rPr>
        <w:t xml:space="preserve">2. UU No. 32 Tahun 2009 tentang PPLH Pasal 91 — Gugatan Warga Negara (Citizen Lawsuit)</w:t>
      </w:r>
    </w:p>
    <w:p>
      <w:pPr>
        <w:pStyle w:val="BodyText"/>
      </w:pPr>
      <w:r>
        <w:rPr>
          <w:i/>
          <w:iCs/>
        </w:rPr>
        <w:t xml:space="preserve">Bunyi Pasal:</w:t>
      </w:r>
      <w:r>
        <w:t xml:space="preserve"> </w:t>
      </w:r>
      <w:r>
        <w:t xml:space="preserve">&gt;</w:t>
      </w:r>
      <w:r>
        <w:t xml:space="preserve"> </w:t>
      </w:r>
      <w:r>
        <w:t xml:space="preserve">“Masyarakat berhak mengajukan gugatan terhadap pemerintah jika pemerintah melakukan kelalaian dalam perlindungan dan pengelolaan lingkungan hidup yang mengakibatkan kerusakan dan/atau pencemaran lingkungan hidup yang merugikan kehidupan masyarakat.”</w:t>
      </w:r>
    </w:p>
    <w:p>
      <w:pPr>
        <w:pStyle w:val="BodyText"/>
      </w:pPr>
      <w:r>
        <w:rPr>
          <w:i/>
          <w:iCs/>
        </w:rPr>
        <w:t xml:space="preserve">Aplikasi dalam Kasus Barito:</w:t>
      </w:r>
      <w:r>
        <w:t xml:space="preserve"> </w:t>
      </w:r>
      <w:r>
        <w:t xml:space="preserve">Pasal ini memberikan standing (kedudukan hukum) yang jelas bagi penggugat individu (Penggugat 1-25) untuk menggugat Tergugat I-IV atas kelalaian dalam perlindungan lingkungan hidup, yang dalam konteks ini mencakup kelalaian dalam mitigasi dan adaptasi perubahan iklim.</w:t>
      </w:r>
    </w:p>
    <w:p>
      <w:pPr>
        <w:pStyle w:val="BodyText"/>
      </w:pPr>
      <w:r>
        <w:t xml:space="preserve">“Kelalaian”</w:t>
      </w:r>
      <w:r>
        <w:t xml:space="preserve"> </w:t>
      </w:r>
      <w:r>
        <w:t xml:space="preserve">yang dapat didalilkan meliputi:</w:t>
      </w:r>
      <w:r>
        <w:t xml:space="preserve"> </w:t>
      </w:r>
      <w:r>
        <w:t xml:space="preserve">1. Tidak memperbarui dan melaksanakan RAD-GRK Provinsi Kalsel (kelalaian Tergugat II dan IV)</w:t>
      </w:r>
      <w:r>
        <w:t xml:space="preserve"> </w:t>
      </w:r>
      <w:r>
        <w:t xml:space="preserve">2. Tidak memiliki sistem peringatan dini banjir yang efektif (kelalaian Tergugat IV)</w:t>
      </w:r>
      <w:r>
        <w:t xml:space="preserve"> </w:t>
      </w:r>
      <w:r>
        <w:t xml:space="preserve">3. Terus mengizinkan ekspansi PLTU batu bara yang meningkatkan emisi GRK (kelalaian Tergugat I, II, III)</w:t>
      </w:r>
      <w:r>
        <w:t xml:space="preserve"> </w:t>
      </w:r>
      <w:r>
        <w:t xml:space="preserve">4. Tidak melaksanakan kewajiban adaptasi sesuai Paris Agreement Article 7</w:t>
      </w:r>
    </w:p>
    <w:p>
      <w:pPr>
        <w:pStyle w:val="BodyText"/>
      </w:pPr>
      <w:r>
        <w:rPr>
          <w:i/>
          <w:iCs/>
        </w:rPr>
        <w:t xml:space="preserve">Kekuatan:</w:t>
      </w:r>
      <w:r>
        <w:t xml:space="preserve"> </w:t>
      </w:r>
      <w:r>
        <w:t xml:space="preserve">-</w:t>
      </w:r>
      <w:r>
        <w:t xml:space="preserve"> </w:t>
      </w:r>
      <w:r>
        <w:rPr>
          <w:b/>
          <w:bCs/>
        </w:rPr>
        <w:t xml:space="preserve">Standing eksplisit:</w:t>
      </w:r>
      <w:r>
        <w:t xml:space="preserve"> </w:t>
      </w:r>
      <w:r>
        <w:t xml:space="preserve">Pasal 91 secara eksplisit memberikan hak gugat kepada</w:t>
      </w:r>
      <w:r>
        <w:t xml:space="preserve"> </w:t>
      </w:r>
      <w:r>
        <w:t xml:space="preserve">“masyarakat”</w:t>
      </w:r>
      <w:r>
        <w:t xml:space="preserve">, sehingga isu standing lebih mudah dibuktikan dibanding gugatan perdata biasa yang memerlukan</w:t>
      </w:r>
      <w:r>
        <w:t xml:space="preserve"> </w:t>
      </w:r>
      <w:r>
        <w:t xml:space="preserve">“kepentingan langsung”</w:t>
      </w:r>
      <w:r>
        <w:t xml:space="preserve"> </w:t>
      </w:r>
      <w:r>
        <w:t xml:space="preserve">-</w:t>
      </w:r>
      <w:r>
        <w:t xml:space="preserve"> </w:t>
      </w:r>
      <w:r>
        <w:rPr>
          <w:b/>
          <w:bCs/>
        </w:rPr>
        <w:t xml:space="preserve">Fokus pada kelalaian pemerintah:</w:t>
      </w:r>
      <w:r>
        <w:t xml:space="preserve"> </w:t>
      </w:r>
      <w:r>
        <w:t xml:space="preserve">Pasal ini dirancang khusus untuk mengatasi situasi di mana pemerintah lalai dalam menjalankan kewajiban lingkungan, yang sangat relevan dengan kasus Barito</w:t>
      </w:r>
      <w:r>
        <w:t xml:space="preserve"> </w:t>
      </w:r>
      <w:r>
        <w:t xml:space="preserve">-</w:t>
      </w:r>
      <w:r>
        <w:t xml:space="preserve"> </w:t>
      </w:r>
      <w:r>
        <w:rPr>
          <w:b/>
          <w:bCs/>
        </w:rPr>
        <w:t xml:space="preserve">Preseden yang kuat:</w:t>
      </w:r>
      <w:r>
        <w:t xml:space="preserve"> </w:t>
      </w:r>
      <w:r>
        <w:t xml:space="preserve">Jakarta Air Pollution menggunakan Pasal 91 sebagai salah satu dasar utama dan berhasil</w:t>
      </w:r>
      <w:r>
        <w:t xml:space="preserve"> </w:t>
      </w:r>
      <w:r>
        <w:t xml:space="preserve">-</w:t>
      </w:r>
      <w:r>
        <w:t xml:space="preserve"> </w:t>
      </w:r>
      <w:r>
        <w:rPr>
          <w:b/>
          <w:bCs/>
        </w:rPr>
        <w:t xml:space="preserve">Tidak memerlukan AMDAL:</w:t>
      </w:r>
      <w:r>
        <w:t xml:space="preserve"> </w:t>
      </w:r>
      <w:r>
        <w:t xml:space="preserve">Berbeda dengan gugatan TUN yang fokus pada izin/keputusan administratif, citizen lawsuit Pasal 91 fokus pada kelalaian substantif</w:t>
      </w:r>
    </w:p>
    <w:p>
      <w:pPr>
        <w:pStyle w:val="BodyText"/>
      </w:pPr>
      <w:r>
        <w:rPr>
          <w:i/>
          <w:iCs/>
        </w:rPr>
        <w:t xml:space="preserve">Kelemahan:</w:t>
      </w:r>
      <w:r>
        <w:t xml:space="preserve"> </w:t>
      </w:r>
      <w:r>
        <w:t xml:space="preserve">-</w:t>
      </w:r>
      <w:r>
        <w:t xml:space="preserve"> </w:t>
      </w:r>
      <w:r>
        <w:rPr>
          <w:b/>
          <w:bCs/>
        </w:rPr>
        <w:t xml:space="preserve">Hanya berlaku untuk Tergugat Pemerintah (I-IV):</w:t>
      </w:r>
      <w:r>
        <w:t xml:space="preserve"> </w:t>
      </w:r>
      <w:r>
        <w:t xml:space="preserve">Pasal 91 tidak dapat digunakan untuk menggugat Tergugat V (PT BNE) karena hanya berlaku untuk gugatan terhadap pemerintah. Untuk korporasi, harus menggunakan dasar hukum lain (Pasal 1365 KUH Perdata)</w:t>
      </w:r>
      <w:r>
        <w:t xml:space="preserve"> </w:t>
      </w:r>
      <w:r>
        <w:t xml:space="preserve">-</w:t>
      </w:r>
      <w:r>
        <w:t xml:space="preserve"> </w:t>
      </w:r>
      <w:r>
        <w:rPr>
          <w:b/>
          <w:bCs/>
        </w:rPr>
        <w:t xml:space="preserve">Interpretasi</w:t>
      </w:r>
      <w:r>
        <w:rPr>
          <w:b/>
          <w:bCs/>
        </w:rPr>
        <w:t xml:space="preserve"> </w:t>
      </w:r>
      <w:r>
        <w:rPr>
          <w:b/>
          <w:bCs/>
        </w:rPr>
        <w:t xml:space="preserve">“kelalaian”</w:t>
      </w:r>
      <w:r>
        <w:rPr>
          <w:b/>
          <w:bCs/>
        </w:rPr>
        <w:t xml:space="preserve">:</w:t>
      </w:r>
      <w:r>
        <w:t xml:space="preserve"> </w:t>
      </w:r>
      <w:r>
        <w:t xml:space="preserve">Pengadilan mungkin memerlukan standar yang jelas untuk menentukan apa yang dimaksud dengan</w:t>
      </w:r>
      <w:r>
        <w:t xml:space="preserve"> </w:t>
      </w:r>
      <w:r>
        <w:t xml:space="preserve">“kelalaian”</w:t>
      </w:r>
      <w:r>
        <w:t xml:space="preserve"> </w:t>
      </w:r>
      <w:r>
        <w:t xml:space="preserve">dalam konteks perubahan iklim. Apakah tidak memenuhi target NDC sudah cukup? Apakah tidak memiliki UU iklim nasional = kelalaian?</w:t>
      </w:r>
      <w:r>
        <w:t xml:space="preserve"> </w:t>
      </w:r>
      <w:r>
        <w:t xml:space="preserve">-</w:t>
      </w:r>
      <w:r>
        <w:t xml:space="preserve"> </w:t>
      </w:r>
      <w:r>
        <w:rPr>
          <w:b/>
          <w:bCs/>
        </w:rPr>
        <w:t xml:space="preserve">Pembuktian kerugian:</w:t>
      </w:r>
      <w:r>
        <w:t xml:space="preserve"> </w:t>
      </w:r>
      <w:r>
        <w:t xml:space="preserve">Harus dibuktikan bahwa kelalaian</w:t>
      </w:r>
      <w:r>
        <w:t xml:space="preserve"> </w:t>
      </w:r>
      <w:r>
        <w:t xml:space="preserve">“mengakibatkan kerusakan dan/atau pencemaran lingkungan hidup yang merugikan kehidupan masyarakat”</w:t>
      </w:r>
      <w:r>
        <w:t xml:space="preserve"> </w:t>
      </w:r>
      <w:r>
        <w:t xml:space="preserve">— ini memerlukan bukti kausal yang kuat</w:t>
      </w:r>
    </w:p>
    <w:p>
      <w:pPr>
        <w:pStyle w:val="BodyText"/>
      </w:pPr>
      <w:r>
        <w:rPr>
          <w:i/>
          <w:iCs/>
        </w:rPr>
        <w:t xml:space="preserve">Preseden Pendukung:</w:t>
      </w:r>
      <w:r>
        <w:t xml:space="preserve"> </w:t>
      </w:r>
      <w:r>
        <w:t xml:space="preserve">-</w:t>
      </w:r>
      <w:r>
        <w:t xml:space="preserve"> </w:t>
      </w:r>
      <w:r>
        <w:rPr>
          <w:b/>
          <w:bCs/>
        </w:rPr>
        <w:t xml:space="preserve">Jakarta Air Pollution:</w:t>
      </w:r>
      <w:r>
        <w:t xml:space="preserve"> </w:t>
      </w:r>
      <w:r>
        <w:t xml:space="preserve">Menggunakan Pasal 91, pengadilan menyatakan pemerintah lalai dan memerintahkan tindakan konkret</w:t>
      </w:r>
      <w:r>
        <w:t xml:space="preserve"> </w:t>
      </w:r>
      <w:r>
        <w:t xml:space="preserve">-</w:t>
      </w:r>
      <w:r>
        <w:t xml:space="preserve"> </w:t>
      </w:r>
      <w:r>
        <w:rPr>
          <w:b/>
          <w:bCs/>
        </w:rPr>
        <w:t xml:space="preserve">WALHI v. Gubernur re: PLTU:</w:t>
      </w:r>
      <w:r>
        <w:t xml:space="preserve"> </w:t>
      </w:r>
      <w:r>
        <w:t xml:space="preserve">Berbagai gugatan lingkungan menggunakan citizen lawsuit dengan sukses</w:t>
      </w:r>
    </w:p>
    <w:p>
      <w:r>
        <w:pict>
          <v:rect style="width:0;height:1.5pt" o:hralign="center" o:hrstd="t" o:hr="t"/>
        </w:pict>
      </w:r>
    </w:p>
    <w:p>
      <w:pPr>
        <w:pStyle w:val="FirstParagraph"/>
      </w:pPr>
      <w:r>
        <w:rPr>
          <w:b/>
          <w:bCs/>
        </w:rPr>
        <w:t xml:space="preserve">3. Paris Agreement (UU No. 16 Tahun 2016) + ICJ Advisory Opinion 2025 — Kewajiban Hukum Internasional</w:t>
      </w:r>
    </w:p>
    <w:p>
      <w:pPr>
        <w:pStyle w:val="BodyText"/>
      </w:pPr>
      <w:r>
        <w:rPr>
          <w:i/>
          <w:iCs/>
        </w:rPr>
        <w:t xml:space="preserve">Dasar Ratifikasi:</w:t>
      </w:r>
      <w:r>
        <w:t xml:space="preserve"> </w:t>
      </w:r>
      <w:r>
        <w:t xml:space="preserve">Indonesia telah meratifikasi Paris Agreement melalui UU No. 16 Tahun 2016, yang berarti Paris Agreement memiliki kekuatan hukum mengikat di Indonesia berdasarkan UU No. 24 Tahun 2000 tentang Perjanjian Internasional.</w:t>
      </w:r>
    </w:p>
    <w:p>
      <w:pPr>
        <w:pStyle w:val="BodyText"/>
      </w:pPr>
      <w:r>
        <w:rPr>
          <w:i/>
          <w:iCs/>
        </w:rPr>
        <w:t xml:space="preserve">Kewajiban Kunci dalam Paris Agreement:</w:t>
      </w:r>
      <w:r>
        <w:t xml:space="preserve"> </w:t>
      </w:r>
      <w:r>
        <w:t xml:space="preserve">1.</w:t>
      </w:r>
      <w:r>
        <w:t xml:space="preserve"> </w:t>
      </w:r>
      <w:r>
        <w:rPr>
          <w:b/>
          <w:bCs/>
        </w:rPr>
        <w:t xml:space="preserve">Article 2.1(a):</w:t>
      </w:r>
      <w:r>
        <w:t xml:space="preserve"> </w:t>
      </w:r>
      <w:r>
        <w:t xml:space="preserve">“Holding the increase in the global average temperature to well below 2°C above pre-industrial levels and pursuing efforts to limit the temperature increase to 1.5°C”</w:t>
      </w:r>
      <w:r>
        <w:t xml:space="preserve"> </w:t>
      </w:r>
      <w:r>
        <w:t xml:space="preserve">2.</w:t>
      </w:r>
      <w:r>
        <w:t xml:space="preserve"> </w:t>
      </w:r>
      <w:r>
        <w:rPr>
          <w:b/>
          <w:bCs/>
        </w:rPr>
        <w:t xml:space="preserve">Article 4.2:</w:t>
      </w:r>
      <w:r>
        <w:t xml:space="preserve"> </w:t>
      </w:r>
      <w:r>
        <w:t xml:space="preserve">Setiap negara pihak harus</w:t>
      </w:r>
      <w:r>
        <w:t xml:space="preserve"> </w:t>
      </w:r>
      <w:r>
        <w:t xml:space="preserve">“prepare, communicate and maintain successive nationally determined contributions (NDCs)”</w:t>
      </w:r>
      <w:r>
        <w:t xml:space="preserve"> </w:t>
      </w:r>
      <w:r>
        <w:t xml:space="preserve">dan</w:t>
      </w:r>
      <w:r>
        <w:t xml:space="preserve"> </w:t>
      </w:r>
      <w:r>
        <w:t xml:space="preserve">“pursue domestic mitigation measures, with the aim of achieving the objectives of such contributions”</w:t>
      </w:r>
      <w:r>
        <w:t xml:space="preserve"> </w:t>
      </w:r>
      <w:r>
        <w:t xml:space="preserve">3.</w:t>
      </w:r>
      <w:r>
        <w:t xml:space="preserve"> </w:t>
      </w:r>
      <w:r>
        <w:rPr>
          <w:b/>
          <w:bCs/>
        </w:rPr>
        <w:t xml:space="preserve">Article 7.1:</w:t>
      </w:r>
      <w:r>
        <w:t xml:space="preserve"> </w:t>
      </w:r>
      <w:r>
        <w:t xml:space="preserve">“Parties hereby establish the global goal on adaptation of enhancing adaptive capacity, strengthening resilience and reducing vulnerability to climate change”</w:t>
      </w:r>
    </w:p>
    <w:p>
      <w:pPr>
        <w:pStyle w:val="BodyText"/>
      </w:pPr>
      <w:r>
        <w:rPr>
          <w:i/>
          <w:iCs/>
        </w:rPr>
        <w:t xml:space="preserve">ICJ Advisory Opinion 2025 sebagai Interpretasi Otoritatif:</w:t>
      </w:r>
      <w:r>
        <w:t xml:space="preserve"> </w:t>
      </w:r>
      <w:r>
        <w:t xml:space="preserve">ICJ Advisory Opinion (23 Juli 2025) memberikan interpretasi otoritatif atas kewajiban negara berdasarkan Paris Agreement dan hukum kebiasaan internasional:</w:t>
      </w:r>
      <w:r>
        <w:t xml:space="preserve"> </w:t>
      </w:r>
      <w:r>
        <w:t xml:space="preserve">1.</w:t>
      </w:r>
      <w:r>
        <w:t xml:space="preserve"> </w:t>
      </w:r>
      <w:r>
        <w:rPr>
          <w:b/>
          <w:bCs/>
        </w:rPr>
        <w:t xml:space="preserve">Target 1,5°C adalah legally binding:</w:t>
      </w:r>
      <w:r>
        <w:t xml:space="preserve"> </w:t>
      </w:r>
      <w:r>
        <w:t xml:space="preserve">Bukan hanya aspirasi politik</w:t>
      </w:r>
      <w:r>
        <w:t xml:space="preserve"> </w:t>
      </w:r>
      <w:r>
        <w:t xml:space="preserve">2.</w:t>
      </w:r>
      <w:r>
        <w:t xml:space="preserve"> </w:t>
      </w:r>
      <w:r>
        <w:rPr>
          <w:b/>
          <w:bCs/>
        </w:rPr>
        <w:t xml:space="preserve">Adaptasi adalah kewajiban hukum:</w:t>
      </w:r>
      <w:r>
        <w:t xml:space="preserve"> </w:t>
      </w:r>
      <w:r>
        <w:t xml:space="preserve">Bukan kebijakan opsional</w:t>
      </w:r>
      <w:r>
        <w:t xml:space="preserve"> </w:t>
      </w:r>
      <w:r>
        <w:t xml:space="preserve">3.</w:t>
      </w:r>
      <w:r>
        <w:t xml:space="preserve"> </w:t>
      </w:r>
      <w:r>
        <w:rPr>
          <w:b/>
          <w:bCs/>
        </w:rPr>
        <w:t xml:space="preserve">Due diligence standard:</w:t>
      </w:r>
      <w:r>
        <w:t xml:space="preserve"> </w:t>
      </w:r>
      <w:r>
        <w:t xml:space="preserve">Negara harus mengambil tindakan yang</w:t>
      </w:r>
      <w:r>
        <w:t xml:space="preserve"> </w:t>
      </w:r>
      <w:r>
        <w:t xml:space="preserve">“deep, rapid, and sustained”</w:t>
      </w:r>
      <w:r>
        <w:t xml:space="preserve"> </w:t>
      </w:r>
      <w:r>
        <w:t xml:space="preserve">untuk mengurangi emisi</w:t>
      </w:r>
    </w:p>
    <w:p>
      <w:pPr>
        <w:pStyle w:val="BodyText"/>
      </w:pPr>
      <w:r>
        <w:rPr>
          <w:i/>
          <w:iCs/>
        </w:rPr>
        <w:t xml:space="preserve">Aplikasi dalam Kasus Barito:</w:t>
      </w:r>
      <w:r>
        <w:t xml:space="preserve"> </w:t>
      </w:r>
      <w:r>
        <w:t xml:space="preserve">Para penggugat dapat berargumen bahwa:</w:t>
      </w:r>
      <w:r>
        <w:t xml:space="preserve"> </w:t>
      </w:r>
      <w:r>
        <w:t xml:space="preserve">1. Indonesia telah gagal memenuhi kewajiban Article 4.2 karena</w:t>
      </w:r>
      <w:r>
        <w:t xml:space="preserve"> </w:t>
      </w:r>
      <w:r>
        <w:rPr>
          <w:b/>
          <w:bCs/>
        </w:rPr>
        <w:t xml:space="preserve">off-track untuk mencapai target NDC</w:t>
      </w:r>
      <w:r>
        <w:t xml:space="preserve"> </w:t>
      </w:r>
      <w:r>
        <w:t xml:space="preserve">(Climate Action Tracker: hanya 20-25% pengurangan pada 2030, padahal NDC menjanjikan 31,89%)</w:t>
      </w:r>
      <w:r>
        <w:t xml:space="preserve"> </w:t>
      </w:r>
      <w:r>
        <w:t xml:space="preserve">2. Ekspansi PLTU batu bara (Tergugat III dan V)</w:t>
      </w:r>
      <w:r>
        <w:t xml:space="preserve"> </w:t>
      </w:r>
      <w:r>
        <w:rPr>
          <w:b/>
          <w:bCs/>
        </w:rPr>
        <w:t xml:space="preserve">bertentangan</w:t>
      </w:r>
      <w:r>
        <w:t xml:space="preserve"> </w:t>
      </w:r>
      <w:r>
        <w:t xml:space="preserve">dengan kewajiban</w:t>
      </w:r>
      <w:r>
        <w:t xml:space="preserve"> </w:t>
      </w:r>
      <w:r>
        <w:t xml:space="preserve">“pursue domestic mitigation measures”</w:t>
      </w:r>
      <w:r>
        <w:t xml:space="preserve"> </w:t>
      </w:r>
      <w:r>
        <w:t xml:space="preserve">3. Tidak ada RAD-API yang efektif di Provinsi Kalsel = pelanggaran kewajiban adaptasi (Article 7)</w:t>
      </w:r>
    </w:p>
    <w:p>
      <w:pPr>
        <w:pStyle w:val="BodyText"/>
      </w:pPr>
      <w:r>
        <w:rPr>
          <w:i/>
          <w:iCs/>
        </w:rPr>
        <w:t xml:space="preserve">Kekuatan:</w:t>
      </w:r>
      <w:r>
        <w:t xml:space="preserve"> </w:t>
      </w:r>
      <w:r>
        <w:t xml:space="preserve">-</w:t>
      </w:r>
      <w:r>
        <w:t xml:space="preserve"> </w:t>
      </w:r>
      <w:r>
        <w:rPr>
          <w:b/>
          <w:bCs/>
        </w:rPr>
        <w:t xml:space="preserve">Mengikat secara hukum:</w:t>
      </w:r>
      <w:r>
        <w:t xml:space="preserve"> </w:t>
      </w:r>
      <w:r>
        <w:t xml:space="preserve">Sebagai perjanjian yang telah diratifikasi, Paris Agreement adalah hukum positif Indonesia</w:t>
      </w:r>
      <w:r>
        <w:t xml:space="preserve"> </w:t>
      </w:r>
      <w:r>
        <w:t xml:space="preserve">-</w:t>
      </w:r>
      <w:r>
        <w:t xml:space="preserve"> </w:t>
      </w:r>
      <w:r>
        <w:rPr>
          <w:b/>
          <w:bCs/>
        </w:rPr>
        <w:t xml:space="preserve">Standar internasional:</w:t>
      </w:r>
      <w:r>
        <w:t xml:space="preserve"> </w:t>
      </w:r>
      <w:r>
        <w:t xml:space="preserve">ICJ Advisory Opinion memberikan interpretasi otoritatif yang sulit dibantah oleh tergugat</w:t>
      </w:r>
      <w:r>
        <w:t xml:space="preserve"> </w:t>
      </w:r>
      <w:r>
        <w:t xml:space="preserve">-</w:t>
      </w:r>
      <w:r>
        <w:t xml:space="preserve"> </w:t>
      </w:r>
      <w:r>
        <w:rPr>
          <w:b/>
          <w:bCs/>
        </w:rPr>
        <w:t xml:space="preserve">Kewajiban konkret:</w:t>
      </w:r>
      <w:r>
        <w:t xml:space="preserve"> </w:t>
      </w:r>
      <w:r>
        <w:t xml:space="preserve">Berbeda dengan prinsip-prinsip abstrak, Paris Agreement menetapkan kewajiban spesifik (NDC, adaptasi)</w:t>
      </w:r>
      <w:r>
        <w:t xml:space="preserve"> </w:t>
      </w:r>
      <w:r>
        <w:t xml:space="preserve">-</w:t>
      </w:r>
      <w:r>
        <w:t xml:space="preserve"> </w:t>
      </w:r>
      <w:r>
        <w:rPr>
          <w:b/>
          <w:bCs/>
        </w:rPr>
        <w:t xml:space="preserve">Global momentum:</w:t>
      </w:r>
      <w:r>
        <w:t xml:space="preserve"> </w:t>
      </w:r>
      <w:r>
        <w:t xml:space="preserve">Litigasi iklim di berbagai negara (Belanda, Jerman, Prancis) telah menggunakan kewajiban Paris Agreement sebagai dasar hukum dengan sukses</w:t>
      </w:r>
    </w:p>
    <w:p>
      <w:pPr>
        <w:pStyle w:val="BodyText"/>
      </w:pPr>
      <w:r>
        <w:rPr>
          <w:i/>
          <w:iCs/>
        </w:rPr>
        <w:t xml:space="preserve">Kelemahan:</w:t>
      </w:r>
      <w:r>
        <w:t xml:space="preserve"> </w:t>
      </w:r>
      <w:r>
        <w:t xml:space="preserve">-</w:t>
      </w:r>
      <w:r>
        <w:t xml:space="preserve"> </w:t>
      </w:r>
      <w:r>
        <w:rPr>
          <w:b/>
          <w:bCs/>
        </w:rPr>
        <w:t xml:space="preserve">Non-self-executing:</w:t>
      </w:r>
      <w:r>
        <w:t xml:space="preserve"> </w:t>
      </w:r>
      <w:r>
        <w:t xml:space="preserve">Paris Agreement mungkin dianggap sebagai perjanjian yang memerlukan implementing legislation (UU pelaksana) untuk dapat ditegakkan di pengadilan domestik. Indonesia belum memiliki UU Iklim Nasional yang mengimplementasikan Paris Agreement secara komprehensif</w:t>
      </w:r>
      <w:r>
        <w:t xml:space="preserve"> </w:t>
      </w:r>
      <w:r>
        <w:t xml:space="preserve">-</w:t>
      </w:r>
      <w:r>
        <w:t xml:space="preserve"> </w:t>
      </w:r>
      <w:r>
        <w:rPr>
          <w:b/>
          <w:bCs/>
        </w:rPr>
        <w:t xml:space="preserve">Political question doctrine:</w:t>
      </w:r>
      <w:r>
        <w:t xml:space="preserve"> </w:t>
      </w:r>
      <w:r>
        <w:t xml:space="preserve">Tergugat mungkin berargumen bahwa menentukan tingkat ambisi NDC dan kebijakan mitigasi adalah</w:t>
      </w:r>
      <w:r>
        <w:t xml:space="preserve"> </w:t>
      </w:r>
      <w:r>
        <w:t xml:space="preserve">“political question”</w:t>
      </w:r>
      <w:r>
        <w:t xml:space="preserve"> </w:t>
      </w:r>
      <w:r>
        <w:t xml:space="preserve">yang bukan domain pengadilan. Namun, argumen ini dapat dijawab dengan mengutip ICJ Advisory Opinion yang menyatakan bahwa pengadilan dapat menilai apakah negara memenuhi kewajiban hukumnya tanpa mencampuri kebijakan</w:t>
      </w:r>
      <w:r>
        <w:t xml:space="preserve"> </w:t>
      </w:r>
      <w:r>
        <w:t xml:space="preserve">-</w:t>
      </w:r>
      <w:r>
        <w:t xml:space="preserve"> </w:t>
      </w:r>
      <w:r>
        <w:rPr>
          <w:b/>
          <w:bCs/>
        </w:rPr>
        <w:t xml:space="preserve">Advisory Opinion non-binding:</w:t>
      </w:r>
      <w:r>
        <w:t xml:space="preserve"> </w:t>
      </w:r>
      <w:r>
        <w:t xml:space="preserve">Meskipun memiliki persuasive authority tinggi, ICJ Advisory Opinion secara teknis tidak mengikat secara langsung terhadap Indonesia</w:t>
      </w:r>
    </w:p>
    <w:p>
      <w:pPr>
        <w:pStyle w:val="BodyText"/>
      </w:pPr>
      <w:r>
        <w:rPr>
          <w:i/>
          <w:iCs/>
        </w:rPr>
        <w:t xml:space="preserve">Preseden Pendukung:</w:t>
      </w:r>
      <w:r>
        <w:t xml:space="preserve"> </w:t>
      </w:r>
      <w:r>
        <w:t xml:space="preserve">-</w:t>
      </w:r>
      <w:r>
        <w:t xml:space="preserve"> </w:t>
      </w:r>
      <w:r>
        <w:rPr>
          <w:b/>
          <w:bCs/>
        </w:rPr>
        <w:t xml:space="preserve">Urgenda v. Netherlands:</w:t>
      </w:r>
      <w:r>
        <w:t xml:space="preserve"> </w:t>
      </w:r>
      <w:r>
        <w:t xml:space="preserve">Pengadilan menggunakan kewajiban internasional (UNFCCC, Doha Amendment) sebagai dasar untuk menentukan target pengurangan emisi minimal 25%</w:t>
      </w:r>
      <w:r>
        <w:t xml:space="preserve"> </w:t>
      </w:r>
      <w:r>
        <w:t xml:space="preserve">-</w:t>
      </w:r>
      <w:r>
        <w:t xml:space="preserve"> </w:t>
      </w:r>
      <w:r>
        <w:rPr>
          <w:b/>
          <w:bCs/>
        </w:rPr>
        <w:t xml:space="preserve">Neubauer v. Germany:</w:t>
      </w:r>
      <w:r>
        <w:t xml:space="preserve"> </w:t>
      </w:r>
      <w:r>
        <w:t xml:space="preserve">Mahkamah Konstitusi menggunakan Paris Agreement untuk menilai apakah UU iklim Jerman memadai</w:t>
      </w:r>
    </w:p>
    <w:p>
      <w:r>
        <w:pict>
          <v:rect style="width:0;height:1.5pt" o:hralign="center" o:hrstd="t" o:hr="t"/>
        </w:pict>
      </w:r>
    </w:p>
    <w:p>
      <w:pPr>
        <w:pStyle w:val="FirstParagraph"/>
      </w:pPr>
      <w:r>
        <w:rPr>
          <w:b/>
          <w:bCs/>
        </w:rPr>
        <w:t xml:space="preserve">Rekomendasi Strategi:</w:t>
      </w:r>
      <w:r>
        <w:t xml:space="preserve"> </w:t>
      </w:r>
      <w:r>
        <w:t xml:space="preserve">Untuk maksimum kekuatan argumentasi, para penggugat sebaiknya menggunakan</w:t>
      </w:r>
      <w:r>
        <w:t xml:space="preserve"> </w:t>
      </w:r>
      <w:r>
        <w:rPr>
          <w:b/>
          <w:bCs/>
        </w:rPr>
        <w:t xml:space="preserve">ketiga dasar hukum secara kumulatif dan saling memperkuat (mutually reinforcing)</w:t>
      </w:r>
      <w:r>
        <w:t xml:space="preserve">:</w:t>
      </w:r>
      <w:r>
        <w:t xml:space="preserve"> </w:t>
      </w:r>
      <w:r>
        <w:t xml:space="preserve">1.</w:t>
      </w:r>
      <w:r>
        <w:t xml:space="preserve"> </w:t>
      </w:r>
      <w:r>
        <w:rPr>
          <w:b/>
          <w:bCs/>
        </w:rPr>
        <w:t xml:space="preserve">UUD 1945 Pasal 28H</w:t>
      </w:r>
      <w:r>
        <w:t xml:space="preserve"> </w:t>
      </w:r>
      <w:r>
        <w:t xml:space="preserve">sebagai fondasi konstitusional dan norma tertinggi</w:t>
      </w:r>
      <w:r>
        <w:t xml:space="preserve"> </w:t>
      </w:r>
      <w:r>
        <w:t xml:space="preserve">2.</w:t>
      </w:r>
      <w:r>
        <w:t xml:space="preserve"> </w:t>
      </w:r>
      <w:r>
        <w:rPr>
          <w:b/>
          <w:bCs/>
        </w:rPr>
        <w:t xml:space="preserve">UU PPLH Pasal 91</w:t>
      </w:r>
      <w:r>
        <w:t xml:space="preserve"> </w:t>
      </w:r>
      <w:r>
        <w:t xml:space="preserve">sebagai dasar standing dan prosedural yang jelas</w:t>
      </w:r>
      <w:r>
        <w:t xml:space="preserve"> </w:t>
      </w:r>
      <w:r>
        <w:t xml:space="preserve">3.</w:t>
      </w:r>
      <w:r>
        <w:t xml:space="preserve"> </w:t>
      </w:r>
      <w:r>
        <w:rPr>
          <w:b/>
          <w:bCs/>
        </w:rPr>
        <w:t xml:space="preserve">Paris Agreement + ICJ Advisory Opinion</w:t>
      </w:r>
      <w:r>
        <w:t xml:space="preserve"> </w:t>
      </w:r>
      <w:r>
        <w:t xml:space="preserve">sebagai standar konkret untuk mengukur kelalaian</w:t>
      </w:r>
    </w:p>
    <w:p>
      <w:pPr>
        <w:pStyle w:val="BodyText"/>
      </w:pPr>
      <w:r>
        <w:t xml:space="preserve">Pendekatan ini telah terbukti efektif dalam preseden Jakarta Air Pollution, di mana pengadilan menggunakan kombinasi dasar hukum konstitusional, statutory, dan internasional.</w:t>
      </w:r>
    </w:p>
    <w:p>
      <w:r>
        <w:pict>
          <v:rect style="width:0;height:1.5pt" o:hralign="center" o:hrstd="t" o:hr="t"/>
        </w:pict>
      </w:r>
    </w:p>
    <w:p>
      <w:pPr>
        <w:pStyle w:val="FirstParagraph"/>
      </w:pPr>
      <w:r>
        <w:rPr>
          <w:b/>
          <w:bCs/>
        </w:rPr>
        <w:t xml:space="preserve">Variasi Jawaban yang Diterima:</w:t>
      </w:r>
      <w:r>
        <w:t xml:space="preserve"> </w:t>
      </w:r>
      <w:r>
        <w:t xml:space="preserve">- Mahasiswa yang memilih</w:t>
      </w:r>
      <w:r>
        <w:t xml:space="preserve"> </w:t>
      </w:r>
      <w:r>
        <w:rPr>
          <w:b/>
          <w:bCs/>
        </w:rPr>
        <w:t xml:space="preserve">tiga dasar hukum berbeda</w:t>
      </w:r>
      <w:r>
        <w:t xml:space="preserve"> </w:t>
      </w:r>
      <w:r>
        <w:t xml:space="preserve">(misal: UUD 28H, Pasal 1365 KUH Perdata, UU 24/2007 Penanggulangan Bencana) juga dapat diterima</w:t>
      </w:r>
      <w:r>
        <w:t xml:space="preserve"> </w:t>
      </w:r>
      <w:r>
        <w:rPr>
          <w:b/>
          <w:bCs/>
        </w:rPr>
        <w:t xml:space="preserve">asalkan</w:t>
      </w:r>
      <w:r>
        <w:t xml:space="preserve"> </w:t>
      </w:r>
      <w:r>
        <w:t xml:space="preserve">analisis kekuatan dan kelemahan serta preseden pendukung dijelaskan dengan baik</w:t>
      </w:r>
      <w:r>
        <w:t xml:space="preserve"> </w:t>
      </w:r>
      <w:r>
        <w:t xml:space="preserve">- Mahasiswa yang menggunakan</w:t>
      </w:r>
      <w:r>
        <w:t xml:space="preserve"> </w:t>
      </w:r>
      <w:r>
        <w:rPr>
          <w:b/>
          <w:bCs/>
        </w:rPr>
        <w:t xml:space="preserve">lebih dari tiga dasar hukum</w:t>
      </w:r>
      <w:r>
        <w:t xml:space="preserve"> </w:t>
      </w:r>
      <w:r>
        <w:t xml:space="preserve">tidak akan mendapat poin tambahan, tetapi menunjukkan pemahaman yang luas (cukup nilai dalam</w:t>
      </w:r>
      <w:r>
        <w:t xml:space="preserve"> </w:t>
      </w:r>
      <w:r>
        <w:t xml:space="preserve">“penguasaan materi”</w:t>
      </w:r>
      <w:r>
        <w:t xml:space="preserve">)</w:t>
      </w:r>
    </w:p>
    <w:p>
      <w:r>
        <w:pict>
          <v:rect style="width:0;height:1.5pt" o:hralign="center" o:hrstd="t" o:hr="t"/>
        </w:pict>
      </w:r>
    </w:p>
    <w:bookmarkEnd w:id="50"/>
    <w:bookmarkStart w:id="51" w:name="X1886c4e53348792287266ce69f57e1785946017"/>
    <w:p>
      <w:pPr>
        <w:pStyle w:val="Heading4"/>
      </w:pPr>
      <w:r>
        <w:t xml:space="preserve">Sub-Pertanyaan 1b: Standing Penggugat Individu (Aktivis Muda) (7%)</w:t>
      </w:r>
    </w:p>
    <w:p>
      <w:pPr>
        <w:pStyle w:val="FirstParagraph"/>
      </w:pPr>
      <w:r>
        <w:rPr>
          <w:b/>
          <w:bCs/>
        </w:rPr>
        <w:t xml:space="preserve">Jawaban Model (Level A):</w:t>
      </w:r>
    </w:p>
    <w:p>
      <w:pPr>
        <w:pStyle w:val="BodyText"/>
      </w:pPr>
      <w:r>
        <w:rPr>
          <w:b/>
          <w:bCs/>
        </w:rPr>
        <w:t xml:space="preserve">Argumen Tergugat (Counterargument):</w:t>
      </w:r>
      <w:r>
        <w:t xml:space="preserve"> </w:t>
      </w:r>
      <w:r>
        <w:t xml:space="preserve">Tergugat berargumen bahwa Penggugat 11-20 (aktivis muda usia 21-27 tahun) tidak memiliki standing karena:</w:t>
      </w:r>
      <w:r>
        <w:t xml:space="preserve"> </w:t>
      </w:r>
      <w:r>
        <w:t xml:space="preserve">1. Mereka tidak mengalami kerugian langsung dari Banjir Barito Januari 2026 (tidak kehilangan keluarga, rumah, atau mata pencaharian)</w:t>
      </w:r>
      <w:r>
        <w:t xml:space="preserve"> </w:t>
      </w:r>
      <w:r>
        <w:t xml:space="preserve">2. Kerugian yang mereka dalilkan (beban emisi di masa depan) bersifat spekulatif dan belum terjadi</w:t>
      </w:r>
      <w:r>
        <w:t xml:space="preserve"> </w:t>
      </w:r>
      <w:r>
        <w:t xml:space="preserve">3. Mereka tidak memiliki</w:t>
      </w:r>
      <w:r>
        <w:t xml:space="preserve"> </w:t>
      </w:r>
      <w:r>
        <w:t xml:space="preserve">“kepentingan hukum yang cukup”</w:t>
      </w:r>
      <w:r>
        <w:t xml:space="preserve"> </w:t>
      </w:r>
      <w:r>
        <w:t xml:space="preserve">(legal interest) sesuai Pasal 1365 KUH Perdata</w:t>
      </w:r>
    </w:p>
    <w:p>
      <w:pPr>
        <w:pStyle w:val="BodyText"/>
      </w:pPr>
      <w:r>
        <w:rPr>
          <w:b/>
          <w:bCs/>
        </w:rPr>
        <w:t xml:space="preserve">Bantahan Penggugat:</w:t>
      </w:r>
    </w:p>
    <w:p>
      <w:pPr>
        <w:pStyle w:val="BodyText"/>
      </w:pPr>
      <w:r>
        <w:rPr>
          <w:b/>
          <w:bCs/>
        </w:rPr>
        <w:t xml:space="preserve">1. Intergenerational Equity sebagai Prinsip Hukum yang Justiciable</w:t>
      </w:r>
    </w:p>
    <w:p>
      <w:pPr>
        <w:pStyle w:val="BodyText"/>
      </w:pPr>
      <w:r>
        <w:rPr>
          <w:i/>
          <w:iCs/>
        </w:rPr>
        <w:t xml:space="preserve">Konsep Intergenerational Equity:</w:t>
      </w:r>
      <w:r>
        <w:t xml:space="preserve"> </w:t>
      </w:r>
      <w:r>
        <w:t xml:space="preserve">Intergenerational equity adalah prinsip bahwa generasi sekarang memiliki kewajiban untuk tidak mengompromikan kemampuan generasi mendatang untuk memenuhi kebutuhan mereka. Dalam konteks perubahan iklim, prinsip ini berarti bahwa generasi muda (Penggugat 11-20) memiliki hak untuk tidak menanggung beban pengurangan emisi yang tidak proporsional akibat kelalaian generasi sebelumnya.</w:t>
      </w:r>
    </w:p>
    <w:p>
      <w:pPr>
        <w:pStyle w:val="BodyText"/>
      </w:pPr>
      <w:r>
        <w:rPr>
          <w:i/>
          <w:iCs/>
        </w:rPr>
        <w:t xml:space="preserve">Dasar Hukum Prinsip Ini:</w:t>
      </w:r>
      <w:r>
        <w:t xml:space="preserve"> </w:t>
      </w:r>
      <w:r>
        <w:t xml:space="preserve">1.</w:t>
      </w:r>
      <w:r>
        <w:t xml:space="preserve"> </w:t>
      </w:r>
      <w:r>
        <w:rPr>
          <w:b/>
          <w:bCs/>
        </w:rPr>
        <w:t xml:space="preserve">UUD 1945 Pasal 33 ayat (4):</w:t>
      </w:r>
      <w:r>
        <w:t xml:space="preserve"> </w:t>
      </w:r>
      <w:r>
        <w:t xml:space="preserve">Perekonomian nasional diselenggarakan dengan prinsip</w:t>
      </w:r>
      <w:r>
        <w:t xml:space="preserve"> </w:t>
      </w:r>
      <w:r>
        <w:t xml:space="preserve">“berkelanjutan”</w:t>
      </w:r>
      <w:r>
        <w:t xml:space="preserve"> </w:t>
      </w:r>
      <w:r>
        <w:t xml:space="preserve">— ini mengimplikasikan perhatian pada generasi mendatang</w:t>
      </w:r>
      <w:r>
        <w:t xml:space="preserve"> </w:t>
      </w:r>
      <w:r>
        <w:t xml:space="preserve">2.</w:t>
      </w:r>
      <w:r>
        <w:t xml:space="preserve"> </w:t>
      </w:r>
      <w:r>
        <w:rPr>
          <w:b/>
          <w:bCs/>
        </w:rPr>
        <w:t xml:space="preserve">UU PPLH Pasal 2 huruf f:</w:t>
      </w:r>
      <w:r>
        <w:t xml:space="preserve"> </w:t>
      </w:r>
      <w:r>
        <w:t xml:space="preserve">Perlindungan lingkungan hidup dilaksanakan berdasarkan asas</w:t>
      </w:r>
      <w:r>
        <w:t xml:space="preserve"> </w:t>
      </w:r>
      <w:r>
        <w:t xml:space="preserve">“keadilan”</w:t>
      </w:r>
      <w:r>
        <w:t xml:space="preserve"> </w:t>
      </w:r>
      <w:r>
        <w:t xml:space="preserve">— termasuk keadilan antargenerasi</w:t>
      </w:r>
      <w:r>
        <w:t xml:space="preserve"> </w:t>
      </w:r>
      <w:r>
        <w:t xml:space="preserve">3.</w:t>
      </w:r>
      <w:r>
        <w:t xml:space="preserve"> </w:t>
      </w:r>
      <w:r>
        <w:rPr>
          <w:b/>
          <w:bCs/>
        </w:rPr>
        <w:t xml:space="preserve">Paris Agreement:</w:t>
      </w:r>
      <w:r>
        <w:t xml:space="preserve"> </w:t>
      </w:r>
      <w:r>
        <w:t xml:space="preserve">Preamble menyebutkan</w:t>
      </w:r>
      <w:r>
        <w:t xml:space="preserve"> </w:t>
      </w:r>
      <w:r>
        <w:t xml:space="preserve">“intergenerational equity”</w:t>
      </w:r>
      <w:r>
        <w:t xml:space="preserve"> </w:t>
      </w:r>
      <w:r>
        <w:t xml:space="preserve">sebagai prinsip yang harus dipertimbangkan dalam aksi iklim</w:t>
      </w:r>
    </w:p>
    <w:p>
      <w:pPr>
        <w:pStyle w:val="BodyText"/>
      </w:pPr>
      <w:r>
        <w:rPr>
          <w:i/>
          <w:iCs/>
        </w:rPr>
        <w:t xml:space="preserve">Aplikasi dalam Kasus Barito:</w:t>
      </w:r>
      <w:r>
        <w:t xml:space="preserve"> </w:t>
      </w:r>
      <w:r>
        <w:t xml:space="preserve">Penggugat 11-20 akan menanggung dampak perubahan iklim yang jauh lebih berat di masa depan jika aksi iklim tidak segera diambil:</w:t>
      </w:r>
      <w:r>
        <w:t xml:space="preserve"> </w:t>
      </w:r>
      <w:r>
        <w:t xml:space="preserve">-</w:t>
      </w:r>
      <w:r>
        <w:t xml:space="preserve"> </w:t>
      </w:r>
      <w:r>
        <w:rPr>
          <w:b/>
          <w:bCs/>
        </w:rPr>
        <w:t xml:space="preserve">Carbon budget:</w:t>
      </w:r>
      <w:r>
        <w:t xml:space="preserve"> </w:t>
      </w:r>
      <w:r>
        <w:t xml:space="preserve">Studi atribusi menunjukkan bahwa pada pemanasan 2°C (sekitar 2040-2050, saat Penggugat 11-20 berusia 40-55 tahun), frekuensi banjir serupa akan meningkat menjadi setiap 7-10 tahun. Mereka akan mengalami 5-7 banjir ekstrem selama hidup mereka</w:t>
      </w:r>
      <w:r>
        <w:t xml:space="preserve"> </w:t>
      </w:r>
      <w:r>
        <w:t xml:space="preserve">-</w:t>
      </w:r>
      <w:r>
        <w:t xml:space="preserve"> </w:t>
      </w:r>
      <w:r>
        <w:rPr>
          <w:b/>
          <w:bCs/>
        </w:rPr>
        <w:t xml:space="preserve">Economic burden:</w:t>
      </w:r>
      <w:r>
        <w:t xml:space="preserve"> </w:t>
      </w:r>
      <w:r>
        <w:t xml:space="preserve">Biaya adaptasi dan pemulihan akan semakin mahal di masa depan, membebani generasi muda secara tidak proporsional</w:t>
      </w:r>
      <w:r>
        <w:t xml:space="preserve"> </w:t>
      </w:r>
      <w:r>
        <w:t xml:space="preserve">-</w:t>
      </w:r>
      <w:r>
        <w:t xml:space="preserve"> </w:t>
      </w:r>
      <w:r>
        <w:rPr>
          <w:b/>
          <w:bCs/>
        </w:rPr>
        <w:t xml:space="preserve">Lost opportunities:</w:t>
      </w:r>
      <w:r>
        <w:t xml:space="preserve"> </w:t>
      </w:r>
      <w:r>
        <w:t xml:space="preserve">Kerusakan lingkungan dan bencana berulang akan mengurangi kualitas hidup dan peluang ekonomi generasi muda</w:t>
      </w:r>
    </w:p>
    <w:p>
      <w:pPr>
        <w:pStyle w:val="BodyText"/>
      </w:pPr>
      <w:r>
        <w:rPr>
          <w:b/>
          <w:bCs/>
        </w:rPr>
        <w:t xml:space="preserve">2. Preseden Neubauer v. Germany (2021) — Hak Generasi Mendatang Dilindungi Konstitusi</w:t>
      </w:r>
    </w:p>
    <w:p>
      <w:pPr>
        <w:pStyle w:val="BodyText"/>
      </w:pPr>
      <w:r>
        <w:rPr>
          <w:i/>
          <w:iCs/>
        </w:rPr>
        <w:t xml:space="preserve">Ringkas Preseden:</w:t>
      </w:r>
      <w:r>
        <w:t xml:space="preserve"> </w:t>
      </w:r>
      <w:r>
        <w:t xml:space="preserve">Dalam Neubauer v. Germany, Bundesverfassungsgericht (Mahkamah Konstitusi Jerman) menyatakan bahwa Federal Climate Protection Act 2019</w:t>
      </w:r>
      <w:r>
        <w:t xml:space="preserve"> </w:t>
      </w:r>
      <w:r>
        <w:rPr>
          <w:b/>
          <w:bCs/>
        </w:rPr>
        <w:t xml:space="preserve">inkonstitusional sepanjang</w:t>
      </w:r>
      <w:r>
        <w:t xml:space="preserve"> </w:t>
      </w:r>
      <w:r>
        <w:t xml:space="preserve">tidak menetapkan target pengurangan yang jelas untuk periode pasca-2030. Penggugat adalah kelompok pemuda Jerman yang berargumen bahwa UU yang terlalu longgar di periode 2020-2030 akan membebankan pengurangan emisi yang tidak proporsional kepada mereka setelah 2030.</w:t>
      </w:r>
    </w:p>
    <w:p>
      <w:pPr>
        <w:pStyle w:val="BodyText"/>
      </w:pPr>
      <w:r>
        <w:rPr>
          <w:i/>
          <w:iCs/>
        </w:rPr>
        <w:t xml:space="preserve">Pertimbangan Kunci Mahkamah Konstitusi:</w:t>
      </w:r>
      <w:r>
        <w:t xml:space="preserve"> </w:t>
      </w:r>
      <w:r>
        <w:t xml:space="preserve">&gt;</w:t>
      </w:r>
      <w:r>
        <w:t xml:space="preserve"> </w:t>
      </w:r>
      <w:r>
        <w:t xml:space="preserve">“Satu generasi tidak boleh mengonsumsi sebagian besar carbon budget sambil menanggung bagian kecil dari upaya pengurangan, jika hal ini berarti meninggalkan generasi selanjutnya dengan beban pengurangan yang drastis dan membuat kehidupan mereka mengalami kehilangan kebebasan yang serius.”</w:t>
      </w:r>
    </w:p>
    <w:p>
      <w:pPr>
        <w:pStyle w:val="BodyText"/>
      </w:pPr>
      <w:r>
        <w:t xml:space="preserve">Mahkamah menyatakan bahwa:</w:t>
      </w:r>
      <w:r>
        <w:t xml:space="preserve"> </w:t>
      </w:r>
      <w:r>
        <w:t xml:space="preserve">1.</w:t>
      </w:r>
      <w:r>
        <w:t xml:space="preserve"> </w:t>
      </w:r>
      <w:r>
        <w:rPr>
          <w:b/>
          <w:bCs/>
        </w:rPr>
        <w:t xml:space="preserve">Hak dasar (fundamental rights) melindungi tidak hanya generasi saat ini, tetapi juga generasi mendatang</w:t>
      </w:r>
      <w:r>
        <w:t xml:space="preserve"> </w:t>
      </w:r>
      <w:r>
        <w:t xml:space="preserve">2.</w:t>
      </w:r>
      <w:r>
        <w:t xml:space="preserve"> </w:t>
      </w:r>
      <w:r>
        <w:rPr>
          <w:b/>
          <w:bCs/>
        </w:rPr>
        <w:t xml:space="preserve">Kelalaian hari ini yang membebankan generasi mendatang secara tidak proporsional adalah pelanggaran konstitusional</w:t>
      </w:r>
      <w:r>
        <w:t xml:space="preserve"> </w:t>
      </w:r>
      <w:r>
        <w:t xml:space="preserve">3.</w:t>
      </w:r>
      <w:r>
        <w:t xml:space="preserve"> </w:t>
      </w:r>
      <w:r>
        <w:rPr>
          <w:b/>
          <w:bCs/>
        </w:rPr>
        <w:t xml:space="preserve">Intergenerational equity adalah prinsip konstitusional yang justiciable</w:t>
      </w:r>
      <w:r>
        <w:t xml:space="preserve"> </w:t>
      </w:r>
      <w:r>
        <w:t xml:space="preserve">— artinya dapat ditegakkan melalui pengadilan</w:t>
      </w:r>
    </w:p>
    <w:p>
      <w:pPr>
        <w:pStyle w:val="BodyText"/>
      </w:pPr>
      <w:r>
        <w:rPr>
          <w:i/>
          <w:iCs/>
        </w:rPr>
        <w:t xml:space="preserve">Aplikasi Preseden Neubauer ke Kasus Barito:</w:t>
      </w:r>
      <w:r>
        <w:t xml:space="preserve"> </w:t>
      </w:r>
      <w:r>
        <w:t xml:space="preserve">Meskipun Neubauer adalah kasus Jerman, prinsip-prinsip yang sama dapat diterapkan di Indonesia:</w:t>
      </w:r>
      <w:r>
        <w:t xml:space="preserve"> </w:t>
      </w:r>
      <w:r>
        <w:t xml:space="preserve">1.</w:t>
      </w:r>
      <w:r>
        <w:t xml:space="preserve"> </w:t>
      </w:r>
      <w:r>
        <w:rPr>
          <w:b/>
          <w:bCs/>
        </w:rPr>
        <w:t xml:space="preserve">UUD 1945 Pasal 28H ayat (1)</w:t>
      </w:r>
      <w:r>
        <w:t xml:space="preserve"> </w:t>
      </w:r>
      <w:r>
        <w:t xml:space="preserve">melindungi hak atas lingkungan sehat</w:t>
      </w:r>
      <w:r>
        <w:t xml:space="preserve"> </w:t>
      </w:r>
      <w:r>
        <w:rPr>
          <w:b/>
          <w:bCs/>
        </w:rPr>
        <w:t xml:space="preserve">untuk semua orang</w:t>
      </w:r>
      <w:r>
        <w:t xml:space="preserve">, tidak hanya generasi sekarang. Kata</w:t>
      </w:r>
      <w:r>
        <w:t xml:space="preserve"> </w:t>
      </w:r>
      <w:r>
        <w:t xml:space="preserve">“setiap orang”</w:t>
      </w:r>
      <w:r>
        <w:t xml:space="preserve"> </w:t>
      </w:r>
      <w:r>
        <w:t xml:space="preserve">mencakup generasi mendatang yang akan menanggung dampak perubahan iklim</w:t>
      </w:r>
      <w:r>
        <w:t xml:space="preserve"> </w:t>
      </w:r>
      <w:r>
        <w:t xml:space="preserve">2.</w:t>
      </w:r>
      <w:r>
        <w:t xml:space="preserve"> </w:t>
      </w:r>
      <w:r>
        <w:rPr>
          <w:b/>
          <w:bCs/>
        </w:rPr>
        <w:t xml:space="preserve">Pasal 33 ayat (4)</w:t>
      </w:r>
      <w:r>
        <w:t xml:space="preserve"> </w:t>
      </w:r>
      <w:r>
        <w:t xml:space="preserve">tentang prinsip</w:t>
      </w:r>
      <w:r>
        <w:t xml:space="preserve"> </w:t>
      </w:r>
      <w:r>
        <w:t xml:space="preserve">“berkelanjutan”</w:t>
      </w:r>
      <w:r>
        <w:t xml:space="preserve"> </w:t>
      </w:r>
      <w:r>
        <w:t xml:space="preserve">mencerminkan concern terhadap intergenerational equity yang sama dengan Grundgesetz Pasal 20a Jerman</w:t>
      </w:r>
      <w:r>
        <w:t xml:space="preserve"> </w:t>
      </w:r>
      <w:r>
        <w:t xml:space="preserve">3.</w:t>
      </w:r>
      <w:r>
        <w:t xml:space="preserve"> </w:t>
      </w:r>
      <w:r>
        <w:rPr>
          <w:b/>
          <w:bCs/>
        </w:rPr>
        <w:t xml:space="preserve">Kelalaian Tergugat I-IV</w:t>
      </w:r>
      <w:r>
        <w:t xml:space="preserve"> </w:t>
      </w:r>
      <w:r>
        <w:t xml:space="preserve">dalam mengurangi emisi saat ini akan membuat Penggugat 11-20 menanggung beban yang tidak proporsional (bencana lebih sering, biaya adaptasi lebih mahal, kualitas hidup lebih buruk)</w:t>
      </w:r>
    </w:p>
    <w:p>
      <w:pPr>
        <w:pStyle w:val="BodyText"/>
      </w:pPr>
      <w:r>
        <w:rPr>
          <w:b/>
          <w:bCs/>
        </w:rPr>
        <w:t xml:space="preserve">3. Hak Konstitusional yang Dilanggar: UUD 1945 Pasal 28H dalam Perspektif Temporal</w:t>
      </w:r>
    </w:p>
    <w:p>
      <w:pPr>
        <w:pStyle w:val="BodyText"/>
      </w:pPr>
      <w:r>
        <w:rPr>
          <w:i/>
          <w:iCs/>
        </w:rPr>
        <w:t xml:space="preserve">Interpretasi Temporal Pasal 28H:</w:t>
      </w:r>
      <w:r>
        <w:t xml:space="preserve"> </w:t>
      </w:r>
      <w:r>
        <w:t xml:space="preserve">Pasal 28H ayat (1) menyatakan:</w:t>
      </w:r>
      <w:r>
        <w:t xml:space="preserve"> </w:t>
      </w:r>
      <w:r>
        <w:t xml:space="preserve">“Setiap orang berhak… mendapatkan lingkungan hidup yang baik dan sehat.”</w:t>
      </w:r>
    </w:p>
    <w:p>
      <w:pPr>
        <w:pStyle w:val="BodyText"/>
      </w:pPr>
      <w:r>
        <w:t xml:space="preserve">Kata</w:t>
      </w:r>
      <w:r>
        <w:t xml:space="preserve"> </w:t>
      </w:r>
      <w:r>
        <w:t xml:space="preserve">“mendapatkan”</w:t>
      </w:r>
      <w:r>
        <w:t xml:space="preserve"> </w:t>
      </w:r>
      <w:r>
        <w:t xml:space="preserve">dapat ditafsirkan dalam dua dimensi temporal:</w:t>
      </w:r>
      <w:r>
        <w:t xml:space="preserve"> </w:t>
      </w:r>
      <w:r>
        <w:t xml:space="preserve">1.</w:t>
      </w:r>
      <w:r>
        <w:t xml:space="preserve"> </w:t>
      </w:r>
      <w:r>
        <w:rPr>
          <w:b/>
          <w:bCs/>
        </w:rPr>
        <w:t xml:space="preserve">Hak saat ini:</w:t>
      </w:r>
      <w:r>
        <w:t xml:space="preserve"> </w:t>
      </w:r>
      <w:r>
        <w:t xml:space="preserve">Hak untuk hidup dalam lingkungan yang baik dan sehat</w:t>
      </w:r>
      <w:r>
        <w:t xml:space="preserve"> </w:t>
      </w:r>
      <w:r>
        <w:rPr>
          <w:b/>
          <w:bCs/>
        </w:rPr>
        <w:t xml:space="preserve">saat ini</w:t>
      </w:r>
      <w:r>
        <w:t xml:space="preserve"> </w:t>
      </w:r>
      <w:r>
        <w:t xml:space="preserve">2.</w:t>
      </w:r>
      <w:r>
        <w:t xml:space="preserve"> </w:t>
      </w:r>
      <w:r>
        <w:rPr>
          <w:b/>
          <w:bCs/>
        </w:rPr>
        <w:t xml:space="preserve">Hak masa depan:</w:t>
      </w:r>
      <w:r>
        <w:t xml:space="preserve"> </w:t>
      </w:r>
      <w:r>
        <w:t xml:space="preserve">Hak untuk</w:t>
      </w:r>
      <w:r>
        <w:t xml:space="preserve"> </w:t>
      </w:r>
      <w:r>
        <w:rPr>
          <w:b/>
          <w:bCs/>
        </w:rPr>
        <w:t xml:space="preserve">tetap mendapatkan</w:t>
      </w:r>
      <w:r>
        <w:t xml:space="preserve"> </w:t>
      </w:r>
      <w:r>
        <w:t xml:space="preserve">lingkungan yang baik dan sehat</w:t>
      </w:r>
      <w:r>
        <w:t xml:space="preserve"> </w:t>
      </w:r>
      <w:r>
        <w:rPr>
          <w:b/>
          <w:bCs/>
        </w:rPr>
        <w:t xml:space="preserve">di masa depan</w:t>
      </w:r>
    </w:p>
    <w:p>
      <w:pPr>
        <w:pStyle w:val="BodyText"/>
      </w:pPr>
      <w:r>
        <w:t xml:space="preserve">Penggugat 11-20, yang saat ini berusia 21-27 tahun, memiliki</w:t>
      </w:r>
      <w:r>
        <w:t xml:space="preserve"> </w:t>
      </w:r>
      <w:r>
        <w:rPr>
          <w:b/>
          <w:bCs/>
        </w:rPr>
        <w:t xml:space="preserve">harapan hidup hingga sekitar 2070-2080</w:t>
      </w:r>
      <w:r>
        <w:t xml:space="preserve">. Kelalaian Tergugat I-IV saat ini akan secara langsung mempengaruhi kemampuan mereka untuk</w:t>
      </w:r>
      <w:r>
        <w:t xml:space="preserve"> </w:t>
      </w:r>
      <w:r>
        <w:t xml:space="preserve">“mendapatkan lingkungan hidup yang baik dan sehat”</w:t>
      </w:r>
      <w:r>
        <w:t xml:space="preserve"> </w:t>
      </w:r>
      <w:r>
        <w:t xml:space="preserve">selama 50-60 tahun ke depan.</w:t>
      </w:r>
    </w:p>
    <w:p>
      <w:pPr>
        <w:pStyle w:val="BodyText"/>
      </w:pPr>
      <w:r>
        <w:rPr>
          <w:i/>
          <w:iCs/>
        </w:rPr>
        <w:t xml:space="preserve">Kerugian yang Dapat Diprediksi (Foreseeable Harm):</w:t>
      </w:r>
      <w:r>
        <w:t xml:space="preserve"> </w:t>
      </w:r>
      <w:r>
        <w:t xml:space="preserve">Berbeda dengan kerugian yang</w:t>
      </w:r>
      <w:r>
        <w:t xml:space="preserve"> </w:t>
      </w:r>
      <w:r>
        <w:t xml:space="preserve">“spekulatif”</w:t>
      </w:r>
      <w:r>
        <w:t xml:space="preserve">, kerugian yang akan dialami Penggugat 11-20 adalah</w:t>
      </w:r>
      <w:r>
        <w:t xml:space="preserve"> </w:t>
      </w:r>
      <w:r>
        <w:rPr>
          <w:b/>
          <w:bCs/>
        </w:rPr>
        <w:t xml:space="preserve">dapat diprediksi</w:t>
      </w:r>
      <w:r>
        <w:t xml:space="preserve"> </w:t>
      </w:r>
      <w:r>
        <w:t xml:space="preserve">berdasarkan:</w:t>
      </w:r>
      <w:r>
        <w:t xml:space="preserve"> </w:t>
      </w:r>
      <w:r>
        <w:t xml:space="preserve">1.</w:t>
      </w:r>
      <w:r>
        <w:t xml:space="preserve"> </w:t>
      </w:r>
      <w:r>
        <w:rPr>
          <w:b/>
          <w:bCs/>
        </w:rPr>
        <w:t xml:space="preserve">Proyeksi ilmiah:</w:t>
      </w:r>
      <w:r>
        <w:t xml:space="preserve"> </w:t>
      </w:r>
      <w:r>
        <w:t xml:space="preserve">Studi atribusi memproyeksikan frekuensi banjir ekstrem di Kalimantan akan meningkat 250-300%</w:t>
      </w:r>
      <w:r>
        <w:t xml:space="preserve"> </w:t>
      </w:r>
      <w:r>
        <w:t xml:space="preserve">2.</w:t>
      </w:r>
      <w:r>
        <w:t xml:space="preserve"> </w:t>
      </w:r>
      <w:r>
        <w:rPr>
          <w:b/>
          <w:bCs/>
        </w:rPr>
        <w:t xml:space="preserve">IPCC reports:</w:t>
      </w:r>
      <w:r>
        <w:t xml:space="preserve"> </w:t>
      </w:r>
      <w:r>
        <w:t xml:space="preserve">AR6 memprediksi peningkatan risiko banjir, kekeringan, dan dampak kesehatan di Asia Tenggara pada pemanasan 1,5-2°C</w:t>
      </w:r>
      <w:r>
        <w:t xml:space="preserve"> </w:t>
      </w:r>
      <w:r>
        <w:t xml:space="preserve">3.</w:t>
      </w:r>
      <w:r>
        <w:t xml:space="preserve"> </w:t>
      </w:r>
      <w:r>
        <w:rPr>
          <w:b/>
          <w:bCs/>
        </w:rPr>
        <w:t xml:space="preserve">Tren historis:</w:t>
      </w:r>
      <w:r>
        <w:t xml:space="preserve"> </w:t>
      </w:r>
      <w:r>
        <w:t xml:space="preserve">Banjir Kalimantan telah meningkat frekuensi dan intensitasnya dalam 20 tahun terakhir</w:t>
      </w:r>
    </w:p>
    <w:p>
      <w:pPr>
        <w:pStyle w:val="BodyText"/>
      </w:pPr>
      <w:r>
        <w:t xml:space="preserve">Karena kerugian dapat diprediksi dengan tingkat kepastian ilmiah yang tinggi, maka Penggugat 11-20 memiliki</w:t>
      </w:r>
      <w:r>
        <w:t xml:space="preserve"> </w:t>
      </w:r>
      <w:r>
        <w:rPr>
          <w:b/>
          <w:bCs/>
        </w:rPr>
        <w:t xml:space="preserve">kepentingan hukum yang cukup</w:t>
      </w:r>
      <w:r>
        <w:t xml:space="preserve"> </w:t>
      </w:r>
      <w:r>
        <w:t xml:space="preserve">untuk menuntut perlindungan hak konstitusional mereka.</w:t>
      </w:r>
    </w:p>
    <w:p>
      <w:pPr>
        <w:pStyle w:val="BodyText"/>
      </w:pPr>
      <w:r>
        <w:rPr>
          <w:b/>
          <w:bCs/>
        </w:rPr>
        <w:t xml:space="preserve">4. Standing Berdasarkan UU PPLH Pasal 91 —</w:t>
      </w:r>
      <w:r>
        <w:rPr>
          <w:b/>
          <w:bCs/>
        </w:rPr>
        <w:t xml:space="preserve"> </w:t>
      </w:r>
      <w:r>
        <w:rPr>
          <w:b/>
          <w:bCs/>
        </w:rPr>
        <w:t xml:space="preserve">“Masyarakat”</w:t>
      </w:r>
      <w:r>
        <w:rPr>
          <w:b/>
          <w:bCs/>
        </w:rPr>
        <w:t xml:space="preserve"> </w:t>
      </w:r>
      <w:r>
        <w:rPr>
          <w:b/>
          <w:bCs/>
        </w:rPr>
        <w:t xml:space="preserve">Tidak Dibatasi pada Korban Langsung</w:t>
      </w:r>
    </w:p>
    <w:p>
      <w:pPr>
        <w:pStyle w:val="BodyText"/>
      </w:pPr>
      <w:r>
        <w:rPr>
          <w:i/>
          <w:iCs/>
        </w:rPr>
        <w:t xml:space="preserve">Interpretasi</w:t>
      </w:r>
      <w:r>
        <w:rPr>
          <w:i/>
          <w:iCs/>
        </w:rPr>
        <w:t xml:space="preserve"> </w:t>
      </w:r>
      <w:r>
        <w:rPr>
          <w:i/>
          <w:iCs/>
        </w:rPr>
        <w:t xml:space="preserve">“Masyarakat”</w:t>
      </w:r>
      <w:r>
        <w:rPr>
          <w:i/>
          <w:iCs/>
        </w:rPr>
        <w:t xml:space="preserve">:</w:t>
      </w:r>
      <w:r>
        <w:t xml:space="preserve"> </w:t>
      </w:r>
      <w:r>
        <w:t xml:space="preserve">Pasal 91 menyatakan:</w:t>
      </w:r>
      <w:r>
        <w:t xml:space="preserve"> </w:t>
      </w:r>
      <w:r>
        <w:t xml:space="preserve">“</w:t>
      </w:r>
      <w:r>
        <w:rPr>
          <w:b/>
          <w:bCs/>
        </w:rPr>
        <w:t xml:space="preserve">Masyarakat</w:t>
      </w:r>
      <w:r>
        <w:t xml:space="preserve"> </w:t>
      </w:r>
      <w:r>
        <w:t xml:space="preserve">berhak mengajukan gugatan terhadap pemerintah jika pemerintah melakukan kelalaian…”</w:t>
      </w:r>
    </w:p>
    <w:p>
      <w:pPr>
        <w:pStyle w:val="BodyText"/>
      </w:pPr>
      <w:r>
        <w:t xml:space="preserve">Kata</w:t>
      </w:r>
      <w:r>
        <w:t xml:space="preserve"> </w:t>
      </w:r>
      <w:r>
        <w:t xml:space="preserve">“masyarakat”</w:t>
      </w:r>
      <w:r>
        <w:t xml:space="preserve"> </w:t>
      </w:r>
      <w:r>
        <w:t xml:space="preserve">tidak dibatasi pada</w:t>
      </w:r>
      <w:r>
        <w:t xml:space="preserve"> </w:t>
      </w:r>
      <w:r>
        <w:t xml:space="preserve">“masyarakat yang mengalami kerugian langsung”</w:t>
      </w:r>
      <w:r>
        <w:t xml:space="preserve">. Interpretasi luas ini didukung oleh:</w:t>
      </w:r>
      <w:r>
        <w:t xml:space="preserve"> </w:t>
      </w:r>
      <w:r>
        <w:t xml:space="preserve">1.</w:t>
      </w:r>
      <w:r>
        <w:t xml:space="preserve"> </w:t>
      </w:r>
      <w:r>
        <w:rPr>
          <w:b/>
          <w:bCs/>
        </w:rPr>
        <w:t xml:space="preserve">Penjelasan UU PPLH:</w:t>
      </w:r>
      <w:r>
        <w:t xml:space="preserve"> </w:t>
      </w:r>
      <w:r>
        <w:t xml:space="preserve">Gugatan warga negara dimaksudkan untuk memperkuat enforcement hukum lingkungan, tidak hanya untuk kompensasi korban individu</w:t>
      </w:r>
      <w:r>
        <w:t xml:space="preserve"> </w:t>
      </w:r>
      <w:r>
        <w:t xml:space="preserve">2.</w:t>
      </w:r>
      <w:r>
        <w:t xml:space="preserve"> </w:t>
      </w:r>
      <w:r>
        <w:rPr>
          <w:b/>
          <w:bCs/>
        </w:rPr>
        <w:t xml:space="preserve">Public interest litigation:</w:t>
      </w:r>
      <w:r>
        <w:t xml:space="preserve"> </w:t>
      </w:r>
      <w:r>
        <w:t xml:space="preserve">UU PPLH mengadopsi konsep public interest litigation, di mana siapa saja yang memiliki concern terhadap perlindungan lingkungan dapat menggugat pemerintah yang lalai</w:t>
      </w:r>
      <w:r>
        <w:t xml:space="preserve"> </w:t>
      </w:r>
      <w:r>
        <w:t xml:space="preserve">3.</w:t>
      </w:r>
      <w:r>
        <w:t xml:space="preserve"> </w:t>
      </w:r>
      <w:r>
        <w:rPr>
          <w:b/>
          <w:bCs/>
        </w:rPr>
        <w:t xml:space="preserve">Preseden:</w:t>
      </w:r>
      <w:r>
        <w:t xml:space="preserve"> </w:t>
      </w:r>
      <w:r>
        <w:t xml:space="preserve">Dalam beberapa gugatan lingkungan, pengadilan telah menerima standing penggugat yang bukan korban langsung, asalkan dapat menunjukkan kepentingan dalam perlindungan lingkungan</w:t>
      </w:r>
    </w:p>
    <w:p>
      <w:pPr>
        <w:pStyle w:val="BodyText"/>
      </w:pPr>
      <w:r>
        <w:rPr>
          <w:i/>
          <w:iCs/>
        </w:rPr>
        <w:t xml:space="preserve">Aplikasi:</w:t>
      </w:r>
      <w:r>
        <w:t xml:space="preserve"> </w:t>
      </w:r>
      <w:r>
        <w:t xml:space="preserve">Penggugat 11-20 adalah</w:t>
      </w:r>
      <w:r>
        <w:t xml:space="preserve"> </w:t>
      </w:r>
      <w:r>
        <w:rPr>
          <w:b/>
          <w:bCs/>
        </w:rPr>
        <w:t xml:space="preserve">bagian dari masyarakat</w:t>
      </w:r>
      <w:r>
        <w:t xml:space="preserve"> </w:t>
      </w:r>
      <w:r>
        <w:t xml:space="preserve">yang memiliki kepentingan langsung dalam perlindungan iklim. Mereka tidak hanya</w:t>
      </w:r>
      <w:r>
        <w:t xml:space="preserve"> </w:t>
      </w:r>
      <w:r>
        <w:t xml:space="preserve">“peduli”</w:t>
      </w:r>
      <w:r>
        <w:t xml:space="preserve"> </w:t>
      </w:r>
      <w:r>
        <w:t xml:space="preserve">secara abstrak, tetapi akan</w:t>
      </w:r>
      <w:r>
        <w:t xml:space="preserve"> </w:t>
      </w:r>
      <w:r>
        <w:rPr>
          <w:b/>
          <w:bCs/>
        </w:rPr>
        <w:t xml:space="preserve">secara konkret terdampak</w:t>
      </w:r>
      <w:r>
        <w:t xml:space="preserve"> </w:t>
      </w:r>
      <w:r>
        <w:t xml:space="preserve">oleh kelalaian pemerintah di masa depan yang dapat diprediksi.</w:t>
      </w:r>
    </w:p>
    <w:p>
      <w:r>
        <w:pict>
          <v:rect style="width:0;height:1.5pt" o:hralign="center" o:hrstd="t" o:hr="t"/>
        </w:pict>
      </w:r>
    </w:p>
    <w:p>
      <w:pPr>
        <w:pStyle w:val="FirstParagraph"/>
      </w:pPr>
      <w:r>
        <w:rPr>
          <w:b/>
          <w:bCs/>
        </w:rPr>
        <w:t xml:space="preserve">Kesimpulan:</w:t>
      </w:r>
      <w:r>
        <w:t xml:space="preserve"> </w:t>
      </w:r>
      <w:r>
        <w:t xml:space="preserve">Penggugat 11-20 memiliki standing berdasarkan:</w:t>
      </w:r>
      <w:r>
        <w:t xml:space="preserve"> </w:t>
      </w:r>
      <w:r>
        <w:t xml:space="preserve">1.</w:t>
      </w:r>
      <w:r>
        <w:t xml:space="preserve"> </w:t>
      </w:r>
      <w:r>
        <w:rPr>
          <w:b/>
          <w:bCs/>
        </w:rPr>
        <w:t xml:space="preserve">Intergenerational equity</w:t>
      </w:r>
      <w:r>
        <w:t xml:space="preserve"> </w:t>
      </w:r>
      <w:r>
        <w:t xml:space="preserve">sebagai prinsip hukum yang diakui dalam UUD 1945 Pasal 33(4) dan UU PPLH</w:t>
      </w:r>
      <w:r>
        <w:t xml:space="preserve"> </w:t>
      </w:r>
      <w:r>
        <w:t xml:space="preserve">2.</w:t>
      </w:r>
      <w:r>
        <w:t xml:space="preserve"> </w:t>
      </w:r>
      <w:r>
        <w:rPr>
          <w:b/>
          <w:bCs/>
        </w:rPr>
        <w:t xml:space="preserve">Preseden Neubauer v. Germany</w:t>
      </w:r>
      <w:r>
        <w:t xml:space="preserve"> </w:t>
      </w:r>
      <w:r>
        <w:t xml:space="preserve">yang menetapkan bahwa hak generasi mendatang dilindungi konstitusi dan dapat ditegakkan melalui pengadilan</w:t>
      </w:r>
      <w:r>
        <w:t xml:space="preserve"> </w:t>
      </w:r>
      <w:r>
        <w:t xml:space="preserve">3.</w:t>
      </w:r>
      <w:r>
        <w:t xml:space="preserve"> </w:t>
      </w:r>
      <w:r>
        <w:rPr>
          <w:b/>
          <w:bCs/>
        </w:rPr>
        <w:t xml:space="preserve">Interpretasi temporal Pasal 28H UUD 1945</w:t>
      </w:r>
      <w:r>
        <w:t xml:space="preserve"> </w:t>
      </w:r>
      <w:r>
        <w:t xml:space="preserve">yang mencakup hak untuk mendapatkan lingkungan sehat tidak hanya saat ini, tetapi juga di masa depan</w:t>
      </w:r>
      <w:r>
        <w:t xml:space="preserve"> </w:t>
      </w:r>
      <w:r>
        <w:t xml:space="preserve">4.</w:t>
      </w:r>
      <w:r>
        <w:t xml:space="preserve"> </w:t>
      </w:r>
      <w:r>
        <w:rPr>
          <w:b/>
          <w:bCs/>
        </w:rPr>
        <w:t xml:space="preserve">UU PPLH Pasal 91</w:t>
      </w:r>
      <w:r>
        <w:t xml:space="preserve"> </w:t>
      </w:r>
      <w:r>
        <w:t xml:space="preserve">yang memberikan standing luas kepada</w:t>
      </w:r>
      <w:r>
        <w:t xml:space="preserve"> </w:t>
      </w:r>
      <w:r>
        <w:t xml:space="preserve">“masyarakat”</w:t>
      </w:r>
      <w:r>
        <w:t xml:space="preserve"> </w:t>
      </w:r>
      <w:r>
        <w:t xml:space="preserve">tanpa membatasi pada korban langsung</w:t>
      </w:r>
    </w:p>
    <w:p>
      <w:pPr>
        <w:pStyle w:val="BodyText"/>
      </w:pPr>
      <w:r>
        <w:t xml:space="preserve">Argumen tergugat bahwa kerugian Penggugat 11-20 bersifat</w:t>
      </w:r>
      <w:r>
        <w:t xml:space="preserve"> </w:t>
      </w:r>
      <w:r>
        <w:t xml:space="preserve">“spekulatif”</w:t>
      </w:r>
      <w:r>
        <w:t xml:space="preserve"> </w:t>
      </w:r>
      <w:r>
        <w:t xml:space="preserve">dapat dibantah dengan bukti ilmiah yang menunjukkan kerugian yang</w:t>
      </w:r>
      <w:r>
        <w:t xml:space="preserve"> </w:t>
      </w:r>
      <w:r>
        <w:rPr>
          <w:b/>
          <w:bCs/>
        </w:rPr>
        <w:t xml:space="preserve">dapat diprediksi</w:t>
      </w:r>
      <w:r>
        <w:t xml:space="preserve"> </w:t>
      </w:r>
      <w:r>
        <w:t xml:space="preserve">dengan tingkat kepastian tinggi.</w:t>
      </w:r>
    </w:p>
    <w:p>
      <w:r>
        <w:pict>
          <v:rect style="width:0;height:1.5pt" o:hralign="center" o:hrstd="t" o:hr="t"/>
        </w:pict>
      </w:r>
    </w:p>
    <w:p>
      <w:pPr>
        <w:pStyle w:val="FirstParagraph"/>
      </w:pPr>
      <w:r>
        <w:rPr>
          <w:b/>
          <w:bCs/>
        </w:rPr>
        <w:t xml:space="preserve">Variasi Jawaban yang Diterima:</w:t>
      </w:r>
      <w:r>
        <w:t xml:space="preserve"> </w:t>
      </w:r>
      <w:r>
        <w:t xml:space="preserve">- Mahasiswa yang fokus pada</w:t>
      </w:r>
      <w:r>
        <w:t xml:space="preserve"> </w:t>
      </w:r>
      <w:r>
        <w:rPr>
          <w:b/>
          <w:bCs/>
        </w:rPr>
        <w:t xml:space="preserve">public interest litigation</w:t>
      </w:r>
      <w:r>
        <w:t xml:space="preserve"> </w:t>
      </w:r>
      <w:r>
        <w:t xml:space="preserve">dan UU PPLH Pasal 91 tanpa mendalami Neubauer tetap dapat mendapat nilai baik (B+/A-), asalkan argumentasinya solid</w:t>
      </w:r>
      <w:r>
        <w:t xml:space="preserve"> </w:t>
      </w:r>
      <w:r>
        <w:t xml:space="preserve">- Mahasiswa yang menggunakan preseden lain (misal: youth climate cases di negara lain seperti Juliana v. US) juga diterima, asalkan dianalisis relevansinya dengan konteks Indonesia</w:t>
      </w:r>
    </w:p>
    <w:p>
      <w:r>
        <w:pict>
          <v:rect style="width:0;height:1.5pt" o:hralign="center" o:hrstd="t" o:hr="t"/>
        </w:pict>
      </w:r>
    </w:p>
    <w:bookmarkEnd w:id="51"/>
    <w:bookmarkStart w:id="52" w:name="X1ddb48b82fbbf374e070a579dd114ef0d04b1f7"/>
    <w:p>
      <w:pPr>
        <w:pStyle w:val="Heading4"/>
      </w:pPr>
      <w:r>
        <w:t xml:space="preserve">Sub-Pertanyaan 1c: ICJ Advisory Opinion dalam Konteks Domestik (8%)</w:t>
      </w:r>
    </w:p>
    <w:p>
      <w:pPr>
        <w:pStyle w:val="FirstParagraph"/>
      </w:pPr>
      <w:r>
        <w:rPr>
          <w:b/>
          <w:bCs/>
        </w:rPr>
        <w:t xml:space="preserve">Jawaban Model (Level A):</w:t>
      </w:r>
    </w:p>
    <w:p>
      <w:pPr>
        <w:pStyle w:val="BodyText"/>
      </w:pPr>
      <w:r>
        <w:rPr>
          <w:b/>
          <w:bCs/>
        </w:rPr>
        <w:t xml:space="preserve">1. Bagaimana ICJ Advisory Opinion Dapat Digunakan dalam Litigasi Domestik Indonesia? (3%)</w:t>
      </w:r>
    </w:p>
    <w:p>
      <w:pPr>
        <w:pStyle w:val="BodyText"/>
      </w:pPr>
      <w:r>
        <w:t xml:space="preserve">Meskipun ICJ Advisory Opinion 2025 secara teknis</w:t>
      </w:r>
      <w:r>
        <w:t xml:space="preserve"> </w:t>
      </w:r>
      <w:r>
        <w:rPr>
          <w:b/>
          <w:bCs/>
        </w:rPr>
        <w:t xml:space="preserve">tidak mengikat secara langsung</w:t>
      </w:r>
      <w:r>
        <w:t xml:space="preserve"> </w:t>
      </w:r>
      <w:r>
        <w:t xml:space="preserve">(non-binding) terhadap Indonesia, ia dapat digunakan dalam litigasi domestik melalui beberapa mekanisme hukum:</w:t>
      </w:r>
    </w:p>
    <w:p>
      <w:pPr>
        <w:pStyle w:val="BodyText"/>
      </w:pPr>
      <w:r>
        <w:rPr>
          <w:b/>
          <w:bCs/>
        </w:rPr>
        <w:t xml:space="preserve">a) Sebagai Interpretasi Otoritatif atas Perjanjian Internasional yang Telah Diratifikasi</w:t>
      </w:r>
    </w:p>
    <w:p>
      <w:pPr>
        <w:pStyle w:val="BodyText"/>
      </w:pPr>
      <w:r>
        <w:rPr>
          <w:i/>
          <w:iCs/>
        </w:rPr>
        <w:t xml:space="preserve">Logika Hukum:</w:t>
      </w:r>
      <w:r>
        <w:t xml:space="preserve"> </w:t>
      </w:r>
      <w:r>
        <w:t xml:space="preserve">- Indonesia telah meratifikasi Paris Agreement melalui</w:t>
      </w:r>
      <w:r>
        <w:t xml:space="preserve"> </w:t>
      </w:r>
      <w:r>
        <w:rPr>
          <w:b/>
          <w:bCs/>
        </w:rPr>
        <w:t xml:space="preserve">UU No. 16 Tahun 2016</w:t>
      </w:r>
      <w:r>
        <w:t xml:space="preserve"> </w:t>
      </w:r>
      <w:r>
        <w:t xml:space="preserve">- Berdasarkan</w:t>
      </w:r>
      <w:r>
        <w:t xml:space="preserve"> </w:t>
      </w:r>
      <w:r>
        <w:rPr>
          <w:b/>
          <w:bCs/>
        </w:rPr>
        <w:t xml:space="preserve">UU No. 24 Tahun 2000 tentang Perjanjian Internasional</w:t>
      </w:r>
      <w:r>
        <w:t xml:space="preserve">, perjanjian yang telah diratifikasi menjadi bagian dari hukum nasional Indonesia</w:t>
      </w:r>
      <w:r>
        <w:t xml:space="preserve"> </w:t>
      </w:r>
      <w:r>
        <w:t xml:space="preserve">- ICJ Advisory Opinion memberikan</w:t>
      </w:r>
      <w:r>
        <w:t xml:space="preserve"> </w:t>
      </w:r>
      <w:r>
        <w:rPr>
          <w:b/>
          <w:bCs/>
        </w:rPr>
        <w:t xml:space="preserve">interpretasi otoritatif</w:t>
      </w:r>
      <w:r>
        <w:t xml:space="preserve"> </w:t>
      </w:r>
      <w:r>
        <w:t xml:space="preserve">atas kewajiban negara berdasarkan Paris Agreement dan hukum kebiasaan internasional</w:t>
      </w:r>
      <w:r>
        <w:t xml:space="preserve"> </w:t>
      </w:r>
      <w:r>
        <w:t xml:space="preserve">- Pengadilan Indonesia dapat menggunakan interpretasi ICJ untuk</w:t>
      </w:r>
      <w:r>
        <w:t xml:space="preserve"> </w:t>
      </w:r>
      <w:r>
        <w:rPr>
          <w:b/>
          <w:bCs/>
        </w:rPr>
        <w:t xml:space="preserve">memahami dan menerapkan</w:t>
      </w:r>
      <w:r>
        <w:t xml:space="preserve"> </w:t>
      </w:r>
      <w:r>
        <w:t xml:space="preserve">kewajiban Indonesia berdasarkan Paris Agreement</w:t>
      </w:r>
    </w:p>
    <w:p>
      <w:pPr>
        <w:pStyle w:val="BodyText"/>
      </w:pPr>
      <w:r>
        <w:rPr>
          <w:i/>
          <w:iCs/>
        </w:rPr>
        <w:t xml:space="preserve">Contoh Aplikasi:</w:t>
      </w:r>
      <w:r>
        <w:t xml:space="preserve"> </w:t>
      </w:r>
      <w:r>
        <w:t xml:space="preserve">Penggugat dapat berargumen:</w:t>
      </w:r>
      <w:r>
        <w:t xml:space="preserve"> </w:t>
      </w:r>
      <w:r>
        <w:t xml:space="preserve">&gt;</w:t>
      </w:r>
      <w:r>
        <w:t xml:space="preserve"> </w:t>
      </w:r>
      <w:r>
        <w:t xml:space="preserve">“Tergugat I-III berargumen bahwa target NDC Indonesia (31,89% unconditional) sudah memadai dan sesuai dengan Paris Agreement. Namun, ICJ Advisory Opinion 2025 telah menegaskan bahwa target 1,5°C adalah legally binding, dan negara-negara maju serta major emitters harus mengambil tindakan yang</w:t>
      </w:r>
      <w:r>
        <w:t xml:space="preserve"> </w:t>
      </w:r>
      <w:r>
        <w:t xml:space="preserve">‘deep, rapid, and sustained’</w:t>
      </w:r>
      <w:r>
        <w:t xml:space="preserve"> </w:t>
      </w:r>
      <w:r>
        <w:t xml:space="preserve">sesuai best available science (IPCC). Berdasarkan IPCC AR6, untuk membatasi pemanasan pada 1,5°C, negara-negara harus mengurangi emisi minimal 45% pada 2030 (dibandingkan 2010). Target Indonesia saat ini tidak selaras dengan interpretasi ICJ atas kewajiban Paris Agreement, sehingga kelalaian dalam menaikkan ambisi NDC merupakan pelanggaran kewajiban hukum internasional yang telah menjadi hukum nasional.”</w:t>
      </w:r>
    </w:p>
    <w:p>
      <w:pPr>
        <w:pStyle w:val="BodyText"/>
      </w:pPr>
      <w:r>
        <w:rPr>
          <w:b/>
          <w:bCs/>
        </w:rPr>
        <w:t xml:space="preserve">b) Sebagai Sumber Hukum Kebiasaan Internasional</w:t>
      </w:r>
    </w:p>
    <w:p>
      <w:pPr>
        <w:pStyle w:val="BodyText"/>
      </w:pPr>
      <w:r>
        <w:rPr>
          <w:i/>
          <w:iCs/>
        </w:rPr>
        <w:t xml:space="preserve">Logika Hukum:</w:t>
      </w:r>
      <w:r>
        <w:t xml:space="preserve"> </w:t>
      </w:r>
      <w:r>
        <w:t xml:space="preserve">- ICJ Advisory Opinion menegaskan bahwa semua negara memiliki</w:t>
      </w:r>
      <w:r>
        <w:t xml:space="preserve"> </w:t>
      </w:r>
      <w:r>
        <w:rPr>
          <w:b/>
          <w:bCs/>
        </w:rPr>
        <w:t xml:space="preserve">kewajiban hukum kebiasaan</w:t>
      </w:r>
      <w:r>
        <w:t xml:space="preserve"> </w:t>
      </w:r>
      <w:r>
        <w:t xml:space="preserve">untuk tidak menyebabkan kerusakan lingkungan lintas batas (transboundary harm), termasuk kerusakan sistem iklim</w:t>
      </w:r>
      <w:r>
        <w:t xml:space="preserve"> </w:t>
      </w:r>
      <w:r>
        <w:t xml:space="preserve">- Kewajiban ini berlaku untuk</w:t>
      </w:r>
      <w:r>
        <w:t xml:space="preserve"> </w:t>
      </w:r>
      <w:r>
        <w:rPr>
          <w:b/>
          <w:bCs/>
        </w:rPr>
        <w:t xml:space="preserve">semua negara</w:t>
      </w:r>
      <w:r>
        <w:t xml:space="preserve">, terlepas dari apakah mereka pihak pada perjanjian tertentu</w:t>
      </w:r>
      <w:r>
        <w:t xml:space="preserve"> </w:t>
      </w:r>
      <w:r>
        <w:t xml:space="preserve">- Hukum kebiasaan internasional adalah bagian dari hukum Indonesia berdasarkan</w:t>
      </w:r>
      <w:r>
        <w:t xml:space="preserve"> </w:t>
      </w:r>
      <w:r>
        <w:rPr>
          <w:b/>
          <w:bCs/>
        </w:rPr>
        <w:t xml:space="preserve">Pasal 38 ICJ Statute</w:t>
      </w:r>
      <w:r>
        <w:t xml:space="preserve"> </w:t>
      </w:r>
      <w:r>
        <w:t xml:space="preserve">yang diakui secara universal, dan prinsip</w:t>
      </w:r>
      <w:r>
        <w:t xml:space="preserve"> </w:t>
      </w:r>
      <w:r>
        <w:t xml:space="preserve">“pacta sunt servanda”</w:t>
      </w:r>
      <w:r>
        <w:t xml:space="preserve"> </w:t>
      </w:r>
      <w:r>
        <w:t xml:space="preserve">yang mengharuskan negara menghormati kewajiban internasionalnya</w:t>
      </w:r>
    </w:p>
    <w:p>
      <w:pPr>
        <w:pStyle w:val="BodyText"/>
      </w:pPr>
      <w:r>
        <w:rPr>
          <w:i/>
          <w:iCs/>
        </w:rPr>
        <w:t xml:space="preserve">Contoh Aplikasi:</w:t>
      </w:r>
      <w:r>
        <w:t xml:space="preserve"> </w:t>
      </w:r>
      <w:r>
        <w:t xml:space="preserve">Penggugat dapat berargumen bahwa kewajiban due diligence yang ditetapkan ICJ adalah hukum kebiasaan internasional yang berlaku bagi Indonesia, sehingga kelalaian Tergugat I-IV dalam melaksanakan due diligence merupakan pelanggaran hukum internasional yang dapat ditegakkan di pengadilan domestik.</w:t>
      </w:r>
    </w:p>
    <w:p>
      <w:pPr>
        <w:pStyle w:val="BodyText"/>
      </w:pPr>
      <w:r>
        <w:rPr>
          <w:b/>
          <w:bCs/>
        </w:rPr>
        <w:t xml:space="preserve">c) Sebagai</w:t>
      </w:r>
      <w:r>
        <w:rPr>
          <w:b/>
          <w:bCs/>
        </w:rPr>
        <w:t xml:space="preserve"> </w:t>
      </w:r>
      <w:r>
        <w:rPr>
          <w:b/>
          <w:bCs/>
        </w:rPr>
        <w:t xml:space="preserve">“Persuasive Authority”</w:t>
      </w:r>
      <w:r>
        <w:rPr>
          <w:b/>
          <w:bCs/>
        </w:rPr>
        <w:t xml:space="preserve"> </w:t>
      </w:r>
      <w:r>
        <w:rPr>
          <w:b/>
          <w:bCs/>
        </w:rPr>
        <w:t xml:space="preserve">untuk Menafsirkan Hukum Nasional</w:t>
      </w:r>
    </w:p>
    <w:p>
      <w:pPr>
        <w:pStyle w:val="BodyText"/>
      </w:pPr>
      <w:r>
        <w:rPr>
          <w:i/>
          <w:iCs/>
        </w:rPr>
        <w:t xml:space="preserve">Logika Hukum:</w:t>
      </w:r>
      <w:r>
        <w:t xml:space="preserve"> </w:t>
      </w:r>
      <w:r>
        <w:t xml:space="preserve">- Pengadilan Indonesia dapat menggunakan prinsip-prinsip hukum internasional sebagai</w:t>
      </w:r>
      <w:r>
        <w:t xml:space="preserve"> </w:t>
      </w:r>
      <w:r>
        <w:rPr>
          <w:b/>
          <w:bCs/>
        </w:rPr>
        <w:t xml:space="preserve">guidance</w:t>
      </w:r>
      <w:r>
        <w:t xml:space="preserve"> </w:t>
      </w:r>
      <w:r>
        <w:t xml:space="preserve">dalam menafsirkan hukum nasional</w:t>
      </w:r>
      <w:r>
        <w:t xml:space="preserve"> </w:t>
      </w:r>
      <w:r>
        <w:t xml:space="preserve">-</w:t>
      </w:r>
      <w:r>
        <w:t xml:space="preserve"> </w:t>
      </w:r>
      <w:r>
        <w:rPr>
          <w:b/>
          <w:bCs/>
        </w:rPr>
        <w:t xml:space="preserve">UUD 1945 Pasal 28H</w:t>
      </w:r>
      <w:r>
        <w:t xml:space="preserve"> </w:t>
      </w:r>
      <w:r>
        <w:t xml:space="preserve">tentang hak atas lingkungan sehat dapat ditafsirkan secara luas dengan mengacu pada standar internasional yang ditetapkan ICJ</w:t>
      </w:r>
      <w:r>
        <w:t xml:space="preserve"> </w:t>
      </w:r>
      <w:r>
        <w:t xml:space="preserve">-</w:t>
      </w:r>
      <w:r>
        <w:t xml:space="preserve"> </w:t>
      </w:r>
      <w:r>
        <w:rPr>
          <w:b/>
          <w:bCs/>
        </w:rPr>
        <w:t xml:space="preserve">UU PPLH Pasal 91</w:t>
      </w:r>
      <w:r>
        <w:t xml:space="preserve"> </w:t>
      </w:r>
      <w:r>
        <w:t xml:space="preserve">tentang</w:t>
      </w:r>
      <w:r>
        <w:t xml:space="preserve"> </w:t>
      </w:r>
      <w:r>
        <w:t xml:space="preserve">“kelalaian pemerintah”</w:t>
      </w:r>
      <w:r>
        <w:t xml:space="preserve"> </w:t>
      </w:r>
      <w:r>
        <w:t xml:space="preserve">dapat ditafsirkan dengan menggunakan standar due diligence yang ditetapkan ICJ</w:t>
      </w:r>
    </w:p>
    <w:p>
      <w:pPr>
        <w:pStyle w:val="BodyText"/>
      </w:pPr>
      <w:r>
        <w:rPr>
          <w:i/>
          <w:iCs/>
        </w:rPr>
        <w:t xml:space="preserve">Preseden Penggunaan Hukum Internasional di Pengadilan Indonesia:</w:t>
      </w:r>
      <w:r>
        <w:t xml:space="preserve"> </w:t>
      </w:r>
      <w:r>
        <w:t xml:space="preserve">-</w:t>
      </w:r>
      <w:r>
        <w:t xml:space="preserve"> </w:t>
      </w:r>
      <w:r>
        <w:rPr>
          <w:b/>
          <w:bCs/>
        </w:rPr>
        <w:t xml:space="preserve">Mahkamah Konstitusi:</w:t>
      </w:r>
      <w:r>
        <w:t xml:space="preserve"> </w:t>
      </w:r>
      <w:r>
        <w:t xml:space="preserve">Dalam beberapa putusan, MK telah merujuk pada instrumen hak asasi manusia internasional untuk menafsirkan Pasal 28 UUD 1945</w:t>
      </w:r>
      <w:r>
        <w:t xml:space="preserve"> </w:t>
      </w:r>
      <w:r>
        <w:t xml:space="preserve">-</w:t>
      </w:r>
      <w:r>
        <w:t xml:space="preserve"> </w:t>
      </w:r>
      <w:r>
        <w:rPr>
          <w:b/>
          <w:bCs/>
        </w:rPr>
        <w:t xml:space="preserve">Mahkamah Agung:</w:t>
      </w:r>
      <w:r>
        <w:t xml:space="preserve"> </w:t>
      </w:r>
      <w:r>
        <w:t xml:space="preserve">Dalam kasus lingkungan, MA pernah merujuk pada prinsip-prinsip hukum lingkungan internasional (seperti polluter pays principle, precautionary principle)</w:t>
      </w:r>
    </w:p>
    <w:p>
      <w:pPr>
        <w:pStyle w:val="BodyText"/>
      </w:pPr>
      <w:r>
        <w:rPr>
          <w:i/>
          <w:iCs/>
        </w:rPr>
        <w:t xml:space="preserve">Contoh Aplikasi:</w:t>
      </w:r>
      <w:r>
        <w:t xml:space="preserve"> </w:t>
      </w:r>
      <w:r>
        <w:t xml:space="preserve">Penggugat dapat berargumen:</w:t>
      </w:r>
      <w:r>
        <w:t xml:space="preserve"> </w:t>
      </w:r>
      <w:r>
        <w:t xml:space="preserve">&gt;</w:t>
      </w:r>
      <w:r>
        <w:t xml:space="preserve"> </w:t>
      </w:r>
      <w:r>
        <w:t xml:space="preserve">“Untuk menentukan apakah Tergugat I-IV telah memenuhi kewajiban melindungi hak warga atas lingkungan sehat (UUD 28H), pengadilan harus menetapkan standar yang jelas. ICJ Advisory Opinion 2025 menyediakan standar internasional yang dapat diadopsi: negara harus melaksanakan due diligence, yaitu upaya yang</w:t>
      </w:r>
      <w:r>
        <w:t xml:space="preserve"> </w:t>
      </w:r>
      <w:r>
        <w:t xml:space="preserve">‘deep, rapid, and sustained’</w:t>
      </w:r>
      <w:r>
        <w:t xml:space="preserve"> </w:t>
      </w:r>
      <w:r>
        <w:t xml:space="preserve">berdasarkan best available science. Pengadilan Indonesia dapat menggunakan standar ini untuk menilai apakah tindakan Tergugat I-IV memadai.”</w:t>
      </w:r>
    </w:p>
    <w:p>
      <w:r>
        <w:pict>
          <v:rect style="width:0;height:1.5pt" o:hralign="center" o:hrstd="t" o:hr="t"/>
        </w:pict>
      </w:r>
    </w:p>
    <w:p>
      <w:pPr>
        <w:pStyle w:val="FirstParagraph"/>
      </w:pPr>
      <w:r>
        <w:rPr>
          <w:b/>
          <w:bCs/>
        </w:rPr>
        <w:t xml:space="preserve">2. Kekuatan Persuasif ICJ Advisory Opinion di Pengadilan Indonesia (2%)</w:t>
      </w:r>
    </w:p>
    <w:p>
      <w:pPr>
        <w:pStyle w:val="BodyText"/>
      </w:pPr>
      <w:r>
        <w:rPr>
          <w:b/>
          <w:bCs/>
        </w:rPr>
        <w:t xml:space="preserve">Faktor yang Meningkatkan Kekuatan Persuasif:</w:t>
      </w:r>
    </w:p>
    <w:p>
      <w:pPr>
        <w:pStyle w:val="BodyText"/>
      </w:pPr>
      <w:r>
        <w:rPr>
          <w:b/>
          <w:bCs/>
        </w:rPr>
        <w:t xml:space="preserve">a) Otoritas ICJ sebagai Lembaga Yudisial Tertinggi Dunia</w:t>
      </w:r>
      <w:r>
        <w:t xml:space="preserve"> </w:t>
      </w:r>
      <w:r>
        <w:t xml:space="preserve">- ICJ adalah</w:t>
      </w:r>
      <w:r>
        <w:t xml:space="preserve"> </w:t>
      </w:r>
      <w:r>
        <w:t xml:space="preserve">“principal judicial organ of the United Nations”</w:t>
      </w:r>
      <w:r>
        <w:t xml:space="preserve"> </w:t>
      </w:r>
      <w:r>
        <w:t xml:space="preserve">(Pasal 92 UN Charter)</w:t>
      </w:r>
      <w:r>
        <w:t xml:space="preserve"> </w:t>
      </w:r>
      <w:r>
        <w:t xml:space="preserve">- Putusan dan Advisory Opinion ICJ dianggap sebagai sumber paling otoritatif untuk interpretasi hukum internasional</w:t>
      </w:r>
      <w:r>
        <w:t xml:space="preserve"> </w:t>
      </w:r>
      <w:r>
        <w:t xml:space="preserve">- Meskipun tidak mengikat secara langsung, Advisory Opinion ICJ memiliki</w:t>
      </w:r>
      <w:r>
        <w:t xml:space="preserve"> </w:t>
      </w:r>
      <w:r>
        <w:rPr>
          <w:b/>
          <w:bCs/>
        </w:rPr>
        <w:t xml:space="preserve">high moral and legal authority</w:t>
      </w:r>
    </w:p>
    <w:p>
      <w:pPr>
        <w:pStyle w:val="BodyText"/>
      </w:pPr>
      <w:r>
        <w:rPr>
          <w:b/>
          <w:bCs/>
        </w:rPr>
        <w:t xml:space="preserve">b) Proses yang Rigorous dan Partisipatif</w:t>
      </w:r>
      <w:r>
        <w:t xml:space="preserve"> </w:t>
      </w:r>
      <w:r>
        <w:t xml:space="preserve">- ICJ Advisory Opinion 2025 adalah hasil dari proses yang melibatkan:</w:t>
      </w:r>
      <w:r>
        <w:t xml:space="preserve"> </w:t>
      </w:r>
      <w:r>
        <w:t xml:space="preserve">- Written submissions dari 100+ negara (termasuk Indonesia)</w:t>
      </w:r>
      <w:r>
        <w:t xml:space="preserve"> </w:t>
      </w:r>
      <w:r>
        <w:t xml:space="preserve">- Oral hearings dengan partisipasi berbagai negara dan organisasi internasional</w:t>
      </w:r>
      <w:r>
        <w:t xml:space="preserve"> </w:t>
      </w:r>
      <w:r>
        <w:t xml:space="preserve">- Analisis mendalam oleh 15 hakim ICJ dari berbagai sistem hukum dunia</w:t>
      </w:r>
      <w:r>
        <w:t xml:space="preserve"> </w:t>
      </w:r>
      <w:r>
        <w:t xml:space="preserve">- Proses ini memberikan legitimasi tinggi pada temuan ICJ</w:t>
      </w:r>
    </w:p>
    <w:p>
      <w:pPr>
        <w:pStyle w:val="BodyText"/>
      </w:pPr>
      <w:r>
        <w:rPr>
          <w:b/>
          <w:bCs/>
        </w:rPr>
        <w:t xml:space="preserve">c) Putusan Unanimous (Suara Bulat)</w:t>
      </w:r>
      <w:r>
        <w:t xml:space="preserve"> </w:t>
      </w:r>
      <w:r>
        <w:t xml:space="preserve">- Advisory Opinion diadopsi secara</w:t>
      </w:r>
      <w:r>
        <w:t xml:space="preserve"> </w:t>
      </w:r>
      <w:r>
        <w:rPr>
          <w:b/>
          <w:bCs/>
        </w:rPr>
        <w:t xml:space="preserve">unanimous</w:t>
      </w:r>
      <w:r>
        <w:t xml:space="preserve"> </w:t>
      </w:r>
      <w:r>
        <w:t xml:space="preserve">oleh semua 15 hakim ICJ</w:t>
      </w:r>
      <w:r>
        <w:t xml:space="preserve"> </w:t>
      </w:r>
      <w:r>
        <w:t xml:space="preserve">- Ini menunjukkan konsensus global yang kuat tentang kewajiban negara terkait perubahan iklim</w:t>
      </w:r>
      <w:r>
        <w:t xml:space="preserve"> </w:t>
      </w:r>
      <w:r>
        <w:t xml:space="preserve">- Sulit bagi tergugat untuk membantah temuan yang didukung secara bulat oleh hakim dari berbagai tradisi hukum (civil law, common law, Islamic law, dll.)</w:t>
      </w:r>
    </w:p>
    <w:p>
      <w:pPr>
        <w:pStyle w:val="BodyText"/>
      </w:pPr>
      <w:r>
        <w:rPr>
          <w:b/>
          <w:bCs/>
        </w:rPr>
        <w:t xml:space="preserve">d) Konsistensi dengan Perkembangan Litigasi Iklim Global</w:t>
      </w:r>
      <w:r>
        <w:t xml:space="preserve"> </w:t>
      </w:r>
      <w:r>
        <w:t xml:space="preserve">- Temuan ICJ konsisten dengan putusan pengadilan nasional di berbagai negara (Urgenda, Neubauer, dll.)</w:t>
      </w:r>
      <w:r>
        <w:t xml:space="preserve"> </w:t>
      </w:r>
      <w:r>
        <w:t xml:space="preserve">- Ini menunjukkan bahwa prinsip-prinsip yang ditetapkan ICJ adalah bagian dari</w:t>
      </w:r>
      <w:r>
        <w:t xml:space="preserve"> </w:t>
      </w:r>
      <w:r>
        <w:rPr>
          <w:b/>
          <w:bCs/>
        </w:rPr>
        <w:t xml:space="preserve">emerging international consensus</w:t>
      </w:r>
      <w:r>
        <w:t xml:space="preserve"> </w:t>
      </w:r>
      <w:r>
        <w:t xml:space="preserve">tentang kewajiban iklim</w:t>
      </w:r>
    </w:p>
    <w:p>
      <w:pPr>
        <w:pStyle w:val="BodyText"/>
      </w:pPr>
      <w:r>
        <w:rPr>
          <w:b/>
          <w:bCs/>
        </w:rPr>
        <w:t xml:space="preserve">e) Indonesia adalah Negara Pihak pada Statute ICJ</w:t>
      </w:r>
      <w:r>
        <w:t xml:space="preserve"> </w:t>
      </w:r>
      <w:r>
        <w:t xml:space="preserve">- Sebagai anggota PBB, Indonesia adalah negara pihak pada ICJ Statute</w:t>
      </w:r>
      <w:r>
        <w:t xml:space="preserve"> </w:t>
      </w:r>
      <w:r>
        <w:t xml:space="preserve">- Meskipun Advisory Opinion tidak mengikat, Indonesia memiliki</w:t>
      </w:r>
      <w:r>
        <w:t xml:space="preserve"> </w:t>
      </w:r>
      <w:r>
        <w:rPr>
          <w:b/>
          <w:bCs/>
        </w:rPr>
        <w:t xml:space="preserve">kewajiban good faith</w:t>
      </w:r>
      <w:r>
        <w:t xml:space="preserve"> </w:t>
      </w:r>
      <w:r>
        <w:t xml:space="preserve">untuk mempertimbangkan temuan ICJ dengan serius</w:t>
      </w:r>
    </w:p>
    <w:p>
      <w:pPr>
        <w:pStyle w:val="BodyText"/>
      </w:pPr>
      <w:r>
        <w:rPr>
          <w:b/>
          <w:bCs/>
        </w:rPr>
        <w:t xml:space="preserve">Contoh Argumentasi di Pengadilan:</w:t>
      </w:r>
      <w:r>
        <w:t xml:space="preserve"> </w:t>
      </w:r>
      <w:r>
        <w:t xml:space="preserve">&gt;</w:t>
      </w:r>
      <w:r>
        <w:t xml:space="preserve"> </w:t>
      </w:r>
      <w:r>
        <w:t xml:space="preserve">“Yang Mulia, meskipun ICJ Advisory Opinion 2025 secara teknis tidak mengikat secara langsung, ia memiliki kekuatan persuasif yang sangat tinggi karena: (1) diadopsi secara bulat oleh 15 hakim dari berbagai sistem hukum dunia, (2) didasarkan pada analisis mendalam atas Paris Agreement dan hukum kebiasaan internasional, (3) konsisten dengan perkembangan litigasi iklim global, dan (4) Indonesia sebagai anggota PBB memiliki kewajiban good faith untuk menghormati interpretasi ICJ. Pengadilan Indonesia dapat dan harus menggunakan Advisory Opinion ini sebagai guidance untuk menafsirkan kewajiban negara berdasarkan UUD 1945 Pasal 28H dan Paris Agreement yang telah diratifikasi.”</w:t>
      </w:r>
    </w:p>
    <w:p>
      <w:r>
        <w:pict>
          <v:rect style="width:0;height:1.5pt" o:hralign="center" o:hrstd="t" o:hr="t"/>
        </w:pict>
      </w:r>
    </w:p>
    <w:p>
      <w:pPr>
        <w:pStyle w:val="FirstParagraph"/>
      </w:pPr>
      <w:r>
        <w:rPr>
          <w:b/>
          <w:bCs/>
        </w:rPr>
        <w:t xml:space="preserve">3. Keterbatasan Penggunaan ICJ Advisory Opinion dalam Konteks Hukum Nasional (3%)</w:t>
      </w:r>
    </w:p>
    <w:p>
      <w:pPr>
        <w:pStyle w:val="BodyText"/>
      </w:pPr>
      <w:r>
        <w:rPr>
          <w:b/>
          <w:bCs/>
        </w:rPr>
        <w:t xml:space="preserve">a) Advisory Opinion Tidak Mengikat Secara Hukum (Non-Binding)</w:t>
      </w:r>
    </w:p>
    <w:p>
      <w:pPr>
        <w:pStyle w:val="BodyText"/>
      </w:pPr>
      <w:r>
        <w:rPr>
          <w:i/>
          <w:iCs/>
        </w:rPr>
        <w:t xml:space="preserve">Sifat Advisory Opinion:</w:t>
      </w:r>
      <w:r>
        <w:t xml:space="preserve"> </w:t>
      </w:r>
      <w:r>
        <w:t xml:space="preserve">- Berbeda dengan contentious cases (sengketa antar negara) yang menghasilkan putusan yang mengikat, Advisory Opinion bersifat</w:t>
      </w:r>
      <w:r>
        <w:t xml:space="preserve"> </w:t>
      </w:r>
      <w:r>
        <w:rPr>
          <w:b/>
          <w:bCs/>
        </w:rPr>
        <w:t xml:space="preserve">non-binding</w:t>
      </w:r>
      <w:r>
        <w:t xml:space="preserve"> </w:t>
      </w:r>
      <w:r>
        <w:t xml:space="preserve">- Advisory Opinion adalah</w:t>
      </w:r>
      <w:r>
        <w:t xml:space="preserve"> </w:t>
      </w:r>
      <w:r>
        <w:t xml:space="preserve">“legal advice”</w:t>
      </w:r>
      <w:r>
        <w:t xml:space="preserve"> </w:t>
      </w:r>
      <w:r>
        <w:t xml:space="preserve">yang diminta oleh UN General Assembly, bukan putusan yang ditujukan pada negara tertentu</w:t>
      </w:r>
      <w:r>
        <w:t xml:space="preserve"> </w:t>
      </w:r>
      <w:r>
        <w:t xml:space="preserve">- Tidak ada mekanisme penegakan langsung (enforcement mechanism) untuk Advisory Opinion</w:t>
      </w:r>
    </w:p>
    <w:p>
      <w:pPr>
        <w:pStyle w:val="BodyText"/>
      </w:pPr>
      <w:r>
        <w:rPr>
          <w:i/>
          <w:iCs/>
        </w:rPr>
        <w:t xml:space="preserve">Implikasi:</w:t>
      </w:r>
      <w:r>
        <w:t xml:space="preserve"> </w:t>
      </w:r>
      <w:r>
        <w:t xml:space="preserve">- Pengadilan Indonesia</w:t>
      </w:r>
      <w:r>
        <w:t xml:space="preserve"> </w:t>
      </w:r>
      <w:r>
        <w:rPr>
          <w:b/>
          <w:bCs/>
        </w:rPr>
        <w:t xml:space="preserve">tidak wajib</w:t>
      </w:r>
      <w:r>
        <w:t xml:space="preserve"> </w:t>
      </w:r>
      <w:r>
        <w:t xml:space="preserve">mengikuti temuan ICJ Advisory Opinion</w:t>
      </w:r>
      <w:r>
        <w:t xml:space="preserve"> </w:t>
      </w:r>
      <w:r>
        <w:t xml:space="preserve">- Tergugat dapat berargumen bahwa Advisory Opinion hanya bersifat</w:t>
      </w:r>
      <w:r>
        <w:t xml:space="preserve"> </w:t>
      </w:r>
      <w:r>
        <w:t xml:space="preserve">“persuasive”</w:t>
      </w:r>
      <w:r>
        <w:t xml:space="preserve"> </w:t>
      </w:r>
      <w:r>
        <w:t xml:space="preserve">dan pengadilan memiliki diskresi untuk tidak mengadopsinya</w:t>
      </w:r>
      <w:r>
        <w:t xml:space="preserve"> </w:t>
      </w:r>
      <w:r>
        <w:t xml:space="preserve">- Namun, ini dapat dijawab dengan argumentasi tentang</w:t>
      </w:r>
      <w:r>
        <w:t xml:space="preserve"> </w:t>
      </w:r>
      <w:r>
        <w:t xml:space="preserve">“persuasive authority”</w:t>
      </w:r>
      <w:r>
        <w:t xml:space="preserve"> </w:t>
      </w:r>
      <w:r>
        <w:t xml:space="preserve">yang tinggi (lihat poin 2 di atas)</w:t>
      </w:r>
    </w:p>
    <w:p>
      <w:pPr>
        <w:pStyle w:val="BodyText"/>
      </w:pPr>
      <w:r>
        <w:rPr>
          <w:b/>
          <w:bCs/>
        </w:rPr>
        <w:t xml:space="preserve">b) Tidak Ada UU Pelaksana (Implementing Legislation) untuk Paris Agreement</w:t>
      </w:r>
    </w:p>
    <w:p>
      <w:pPr>
        <w:pStyle w:val="BodyText"/>
      </w:pPr>
      <w:r>
        <w:rPr>
          <w:i/>
          <w:iCs/>
        </w:rPr>
        <w:t xml:space="preserve">Masalah Non-Self-Executing Treaty:</w:t>
      </w:r>
      <w:r>
        <w:t xml:space="preserve"> </w:t>
      </w:r>
      <w:r>
        <w:t xml:space="preserve">- Paris Agreement mungkin dianggap sebagai</w:t>
      </w:r>
      <w:r>
        <w:t xml:space="preserve"> </w:t>
      </w:r>
      <w:r>
        <w:rPr>
          <w:b/>
          <w:bCs/>
        </w:rPr>
        <w:t xml:space="preserve">non-self-executing treaty</w:t>
      </w:r>
      <w:r>
        <w:t xml:space="preserve">, yaitu perjanjian yang memerlukan UU pelaksana untuk dapat ditegakkan di pengadilan domestik</w:t>
      </w:r>
      <w:r>
        <w:t xml:space="preserve"> </w:t>
      </w:r>
      <w:r>
        <w:t xml:space="preserve">- Indonesia belum memiliki</w:t>
      </w:r>
      <w:r>
        <w:t xml:space="preserve"> </w:t>
      </w:r>
      <w:r>
        <w:rPr>
          <w:b/>
          <w:bCs/>
        </w:rPr>
        <w:t xml:space="preserve">UU Iklim Nasional</w:t>
      </w:r>
      <w:r>
        <w:t xml:space="preserve"> </w:t>
      </w:r>
      <w:r>
        <w:t xml:space="preserve">yang secara komprehensif mengimplementasikan kewajiban Paris Agreement</w:t>
      </w:r>
      <w:r>
        <w:t xml:space="preserve"> </w:t>
      </w:r>
      <w:r>
        <w:t xml:space="preserve">- Tergugat dapat berargumen bahwa tanpa UU pelaksana, kewajiban Paris Agreement (dan interpretasi ICJ atasnya) tidak dapat langsung ditegakkan</w:t>
      </w:r>
    </w:p>
    <w:p>
      <w:pPr>
        <w:pStyle w:val="BodyText"/>
      </w:pPr>
      <w:r>
        <w:rPr>
          <w:i/>
          <w:iCs/>
        </w:rPr>
        <w:t xml:space="preserve">Bantahan Penggugat:</w:t>
      </w:r>
      <w:r>
        <w:t xml:space="preserve"> </w:t>
      </w:r>
      <w:r>
        <w:t xml:space="preserve">- Meskipun Paris Agreement mungkin non-self-executing dalam aspek teknis (seperti mekanisme carbon pricing),</w:t>
      </w:r>
      <w:r>
        <w:t xml:space="preserve"> </w:t>
      </w:r>
      <w:r>
        <w:rPr>
          <w:b/>
          <w:bCs/>
        </w:rPr>
        <w:t xml:space="preserve">kewajiban dasar</w:t>
      </w:r>
      <w:r>
        <w:t xml:space="preserve"> </w:t>
      </w:r>
      <w:r>
        <w:t xml:space="preserve">seperti</w:t>
      </w:r>
      <w:r>
        <w:t xml:space="preserve"> </w:t>
      </w:r>
      <w:r>
        <w:t xml:space="preserve">“tidak menyebabkan kerusakan lingkungan”</w:t>
      </w:r>
      <w:r>
        <w:t xml:space="preserve"> </w:t>
      </w:r>
      <w:r>
        <w:t xml:space="preserve">adalah</w:t>
      </w:r>
      <w:r>
        <w:t xml:space="preserve"> </w:t>
      </w:r>
      <w:r>
        <w:rPr>
          <w:b/>
          <w:bCs/>
        </w:rPr>
        <w:t xml:space="preserve">self-executing</w:t>
      </w:r>
      <w:r>
        <w:t xml:space="preserve"> </w:t>
      </w:r>
      <w:r>
        <w:t xml:space="preserve">karena langsung berkaitan dengan hak konstitusional (UUD 28H)</w:t>
      </w:r>
      <w:r>
        <w:t xml:space="preserve"> </w:t>
      </w:r>
      <w:r>
        <w:t xml:space="preserve">- Preseden Jakarta Air Pollution menunjukkan bahwa pengadilan dapat memerintahkan pemerintah melaksanakan kewajiban perlindungan lingkungan meskipun tidak ada UU pelaksana yang spesifik</w:t>
      </w:r>
    </w:p>
    <w:p>
      <w:pPr>
        <w:pStyle w:val="BodyText"/>
      </w:pPr>
      <w:r>
        <w:rPr>
          <w:b/>
          <w:bCs/>
        </w:rPr>
        <w:t xml:space="preserve">c) Separation of Powers (Pemisahan Kekuasaan)</w:t>
      </w:r>
    </w:p>
    <w:p>
      <w:pPr>
        <w:pStyle w:val="BodyText"/>
      </w:pPr>
      <w:r>
        <w:rPr>
          <w:i/>
          <w:iCs/>
        </w:rPr>
        <w:t xml:space="preserve">Argumen Tergugat:</w:t>
      </w:r>
      <w:r>
        <w:t xml:space="preserve"> </w:t>
      </w:r>
      <w:r>
        <w:t xml:space="preserve">- Tergugat akan berargumen bahwa menentukan target NDC, kebijakan energi, dan alokasi anggaran iklim adalah</w:t>
      </w:r>
      <w:r>
        <w:t xml:space="preserve"> </w:t>
      </w:r>
      <w:r>
        <w:rPr>
          <w:b/>
          <w:bCs/>
        </w:rPr>
        <w:t xml:space="preserve">domain eksekutif dan legislatif</w:t>
      </w:r>
      <w:r>
        <w:t xml:space="preserve">, bukan yudikatif</w:t>
      </w:r>
      <w:r>
        <w:t xml:space="preserve"> </w:t>
      </w:r>
      <w:r>
        <w:t xml:space="preserve">- Menggunakan ICJ Advisory Opinion untuk memaksa pemerintah menaikkan ambisi NDC atau menghentikan PLTU batu bara adalah</w:t>
      </w:r>
      <w:r>
        <w:t xml:space="preserve"> </w:t>
      </w:r>
      <w:r>
        <w:rPr>
          <w:b/>
          <w:bCs/>
        </w:rPr>
        <w:t xml:space="preserve">judicial overreach</w:t>
      </w:r>
      <w:r>
        <w:t xml:space="preserve"> </w:t>
      </w:r>
      <w:r>
        <w:t xml:space="preserve">yang melanggar separation of powers</w:t>
      </w:r>
    </w:p>
    <w:p>
      <w:pPr>
        <w:pStyle w:val="BodyText"/>
      </w:pPr>
      <w:r>
        <w:rPr>
          <w:i/>
          <w:iCs/>
        </w:rPr>
        <w:t xml:space="preserve">Bantahan Penggugat:</w:t>
      </w:r>
      <w:r>
        <w:t xml:space="preserve"> </w:t>
      </w:r>
      <w:r>
        <w:t xml:space="preserve">- ICJ Advisory Opinion sendiri telah mengantisipasi argumen ini. ICJ menyatakan:</w:t>
      </w:r>
      <w:r>
        <w:t xml:space="preserve"> </w:t>
      </w:r>
      <w:r>
        <w:t xml:space="preserve">&gt;</w:t>
      </w:r>
      <w:r>
        <w:t xml:space="preserve"> </w:t>
      </w:r>
      <w:r>
        <w:t xml:space="preserve">“Court decisions do not replace democratically legitimised climate protection policy but complement it.”</w:t>
      </w:r>
      <w:r>
        <w:t xml:space="preserve"> </w:t>
      </w:r>
      <w:r>
        <w:t xml:space="preserve">- Pengadilan</w:t>
      </w:r>
      <w:r>
        <w:t xml:space="preserve"> </w:t>
      </w:r>
      <w:r>
        <w:rPr>
          <w:b/>
          <w:bCs/>
        </w:rPr>
        <w:t xml:space="preserve">tidak menentukan kebijakan</w:t>
      </w:r>
      <w:r>
        <w:t xml:space="preserve">, tetapi</w:t>
      </w:r>
      <w:r>
        <w:t xml:space="preserve"> </w:t>
      </w:r>
      <w:r>
        <w:rPr>
          <w:b/>
          <w:bCs/>
        </w:rPr>
        <w:t xml:space="preserve">menilai apakah pemerintah memenuhi kewajiban hukumnya</w:t>
      </w:r>
      <w:r>
        <w:t xml:space="preserve">. Ini adalah fungsi judicial review yang sah</w:t>
      </w:r>
      <w:r>
        <w:t xml:space="preserve"> </w:t>
      </w:r>
      <w:r>
        <w:t xml:space="preserve">- Preseden Urgenda dan Neubauer menunjukkan bahwa pengadilan dapat memerintahkan pemerintah mengambil tindakan konkret tanpa melanggar separation of powers, asalkan tindakan tersebut didasarkan pada kewajiban hukum yang sudah ada</w:t>
      </w:r>
    </w:p>
    <w:p>
      <w:pPr>
        <w:pStyle w:val="BodyText"/>
      </w:pPr>
      <w:r>
        <w:rPr>
          <w:b/>
          <w:bCs/>
        </w:rPr>
        <w:t xml:space="preserve">d) Konteks Indonesia Berbeda dari Konteks Global</w:t>
      </w:r>
    </w:p>
    <w:p>
      <w:pPr>
        <w:pStyle w:val="BodyText"/>
      </w:pPr>
      <w:r>
        <w:rPr>
          <w:i/>
          <w:iCs/>
        </w:rPr>
        <w:t xml:space="preserve">Argumen Tergugat:</w:t>
      </w:r>
      <w:r>
        <w:t xml:space="preserve"> </w:t>
      </w:r>
      <w:r>
        <w:t xml:space="preserve">- ICJ Advisory Opinion diadopsi dalam konteks global dan mungkin tidak sepenuhnya relevan dengan kondisi Indonesia sebagai negara berkembang</w:t>
      </w:r>
      <w:r>
        <w:t xml:space="preserve"> </w:t>
      </w:r>
      <w:r>
        <w:t xml:space="preserve">- Indonesia memiliki kebutuhan pembangunan dan pengentasan kemiskinan yang harus diimbangi dengan aksi iklim</w:t>
      </w:r>
      <w:r>
        <w:t xml:space="preserve"> </w:t>
      </w:r>
      <w:r>
        <w:t xml:space="preserve">- Prinsip</w:t>
      </w:r>
      <w:r>
        <w:t xml:space="preserve"> </w:t>
      </w:r>
      <w:r>
        <w:rPr>
          <w:b/>
          <w:bCs/>
        </w:rPr>
        <w:t xml:space="preserve">Common But Differentiated Responsibilities and Respective Capabilities (CBDR-RC)</w:t>
      </w:r>
      <w:r>
        <w:t xml:space="preserve"> </w:t>
      </w:r>
      <w:r>
        <w:t xml:space="preserve">dalam Paris Agreement memberikan fleksibilitas bagi negara berkembang</w:t>
      </w:r>
    </w:p>
    <w:p>
      <w:pPr>
        <w:pStyle w:val="BodyText"/>
      </w:pPr>
      <w:r>
        <w:rPr>
          <w:i/>
          <w:iCs/>
        </w:rPr>
        <w:t xml:space="preserve">Bantahan Penggugat:</w:t>
      </w:r>
      <w:r>
        <w:t xml:space="preserve"> </w:t>
      </w:r>
      <w:r>
        <w:t xml:space="preserve">- ICJ Advisory Opinion</w:t>
      </w:r>
      <w:r>
        <w:t xml:space="preserve"> </w:t>
      </w:r>
      <w:r>
        <w:rPr>
          <w:b/>
          <w:bCs/>
        </w:rPr>
        <w:t xml:space="preserve">mengakui CBDR-RC</w:t>
      </w:r>
      <w:r>
        <w:t xml:space="preserve"> </w:t>
      </w:r>
      <w:r>
        <w:t xml:space="preserve">dan tidak mengharuskan semua negara mengambil tindakan yang sama</w:t>
      </w:r>
      <w:r>
        <w:t xml:space="preserve"> </w:t>
      </w:r>
      <w:r>
        <w:t xml:space="preserve">- Namun, CBDR-RC</w:t>
      </w:r>
      <w:r>
        <w:t xml:space="preserve"> </w:t>
      </w:r>
      <w:r>
        <w:rPr>
          <w:b/>
          <w:bCs/>
        </w:rPr>
        <w:t xml:space="preserve">bukan alasan untuk tidak melakukan apapun</w:t>
      </w:r>
      <w:r>
        <w:t xml:space="preserve">. ICJ menegaskan bahwa semua negara, including developing countries, memiliki kewajiban due diligence yang disesuaikan dengan kapasitas mereka</w:t>
      </w:r>
      <w:r>
        <w:t xml:space="preserve"> </w:t>
      </w:r>
      <w:r>
        <w:t xml:space="preserve">- Indonesia sebagai</w:t>
      </w:r>
      <w:r>
        <w:t xml:space="preserve"> </w:t>
      </w:r>
      <w:r>
        <w:rPr>
          <w:b/>
          <w:bCs/>
        </w:rPr>
        <w:t xml:space="preserve">major emitter</w:t>
      </w:r>
      <w:r>
        <w:t xml:space="preserve"> </w:t>
      </w:r>
      <w:r>
        <w:t xml:space="preserve">(emitter terbesar di Asia Tenggara, top 10 global) memiliki</w:t>
      </w:r>
      <w:r>
        <w:t xml:space="preserve"> </w:t>
      </w:r>
      <w:r>
        <w:rPr>
          <w:b/>
          <w:bCs/>
        </w:rPr>
        <w:t xml:space="preserve">tanggung jawab yang lebih besar</w:t>
      </w:r>
      <w:r>
        <w:t xml:space="preserve"> </w:t>
      </w:r>
      <w:r>
        <w:t xml:space="preserve">dibandingkan negara berkembang kecil</w:t>
      </w:r>
      <w:r>
        <w:t xml:space="preserve"> </w:t>
      </w:r>
      <w:r>
        <w:t xml:space="preserve">- Kelalaian adaptasi (seperti tidak ada early warning system di Barito)</w:t>
      </w:r>
      <w:r>
        <w:t xml:space="preserve"> </w:t>
      </w:r>
      <w:r>
        <w:rPr>
          <w:b/>
          <w:bCs/>
        </w:rPr>
        <w:t xml:space="preserve">tidak dapat dibenarkan</w:t>
      </w:r>
      <w:r>
        <w:t xml:space="preserve"> </w:t>
      </w:r>
      <w:r>
        <w:t xml:space="preserve">dengan argumen pembangunan — ini adalah kewajiban dasar melindungi warga yang tidak memerlukan biaya sangat besar</w:t>
      </w:r>
    </w:p>
    <w:p>
      <w:pPr>
        <w:pStyle w:val="BodyText"/>
      </w:pPr>
      <w:r>
        <w:rPr>
          <w:b/>
          <w:bCs/>
        </w:rPr>
        <w:t xml:space="preserve">e) Kesulitan Pembuktian Kausalitas</w:t>
      </w:r>
    </w:p>
    <w:p>
      <w:pPr>
        <w:pStyle w:val="BodyText"/>
      </w:pPr>
      <w:r>
        <w:rPr>
          <w:i/>
          <w:iCs/>
        </w:rPr>
        <w:t xml:space="preserve">Keterbatasan Inheren Advisory Opinion:</w:t>
      </w:r>
      <w:r>
        <w:t xml:space="preserve"> </w:t>
      </w:r>
      <w:r>
        <w:t xml:space="preserve">- ICJ Advisory Opinion menetapkan kewajiban</w:t>
      </w:r>
      <w:r>
        <w:t xml:space="preserve"> </w:t>
      </w:r>
      <w:r>
        <w:rPr>
          <w:b/>
          <w:bCs/>
        </w:rPr>
        <w:t xml:space="preserve">in abstracto</w:t>
      </w:r>
      <w:r>
        <w:t xml:space="preserve"> </w:t>
      </w:r>
      <w:r>
        <w:t xml:space="preserve">(secara umum), bukan untuk kasus spesifik</w:t>
      </w:r>
      <w:r>
        <w:t xml:space="preserve"> </w:t>
      </w:r>
      <w:r>
        <w:t xml:space="preserve">- Advisory Opinion tidak membahas bagaimana membuktikan kausalitas antara kelalaian negara tertentu dengan dampak spesifik di lokasi tertentu</w:t>
      </w:r>
      <w:r>
        <w:t xml:space="preserve"> </w:t>
      </w:r>
      <w:r>
        <w:t xml:space="preserve">- Penggugat tetap harus membuktikan bahwa kelalaian Tergugat I-V</w:t>
      </w:r>
      <w:r>
        <w:t xml:space="preserve"> </w:t>
      </w:r>
      <w:r>
        <w:rPr>
          <w:b/>
          <w:bCs/>
        </w:rPr>
        <w:t xml:space="preserve">secara kausal</w:t>
      </w:r>
      <w:r>
        <w:t xml:space="preserve"> </w:t>
      </w:r>
      <w:r>
        <w:t xml:space="preserve">menyebabkan atau memperburuk Banjir Barito Januari 2026</w:t>
      </w:r>
    </w:p>
    <w:p>
      <w:pPr>
        <w:pStyle w:val="BodyText"/>
      </w:pPr>
      <w:r>
        <w:rPr>
          <w:i/>
          <w:iCs/>
        </w:rPr>
        <w:t xml:space="preserve">Strategi Penggugat:</w:t>
      </w:r>
      <w:r>
        <w:t xml:space="preserve"> </w:t>
      </w:r>
      <w:r>
        <w:t xml:space="preserve">- Menggunakan studi atribusi iklim sebagai bukti ilmiah</w:t>
      </w:r>
      <w:r>
        <w:t xml:space="preserve"> </w:t>
      </w:r>
      <w:r>
        <w:t xml:space="preserve">- Menunjukkan bahwa meskipun kausalitas global-local kompleks, kontribusi Tergugat dapat dianggap</w:t>
      </w:r>
      <w:r>
        <w:t xml:space="preserve"> </w:t>
      </w:r>
      <w:r>
        <w:rPr>
          <w:b/>
          <w:bCs/>
        </w:rPr>
        <w:t xml:space="preserve">material contribution</w:t>
      </w:r>
      <w:r>
        <w:t xml:space="preserve"> </w:t>
      </w:r>
      <w:r>
        <w:t xml:space="preserve">(lihat Pertanyaan 2b)</w:t>
      </w:r>
    </w:p>
    <w:p>
      <w:r>
        <w:pict>
          <v:rect style="width:0;height:1.5pt" o:hralign="center" o:hrstd="t" o:hr="t"/>
        </w:pict>
      </w:r>
    </w:p>
    <w:p>
      <w:pPr>
        <w:pStyle w:val="FirstParagraph"/>
      </w:pPr>
      <w:r>
        <w:rPr>
          <w:b/>
          <w:bCs/>
        </w:rPr>
        <w:t xml:space="preserve">Kesimpulan Sub-Pertanyaan 1c:</w:t>
      </w:r>
      <w:r>
        <w:t xml:space="preserve"> </w:t>
      </w:r>
      <w:r>
        <w:t xml:space="preserve">ICJ Advisory Opinion 2025 dapat digunakan dalam litigasi domestik Indonesia sebagai:</w:t>
      </w:r>
      <w:r>
        <w:t xml:space="preserve"> </w:t>
      </w:r>
      <w:r>
        <w:t xml:space="preserve">1. Interpretasi otoritatif atas Paris Agreement yang telah diratifikasi</w:t>
      </w:r>
      <w:r>
        <w:t xml:space="preserve"> </w:t>
      </w:r>
      <w:r>
        <w:t xml:space="preserve">2. Sumber hukum kebiasaan internasional</w:t>
      </w:r>
      <w:r>
        <w:t xml:space="preserve"> </w:t>
      </w:r>
      <w:r>
        <w:t xml:space="preserve">3. Persuasive authority dengan kekuatan tinggi untuk menafsirkan hukum nasional</w:t>
      </w:r>
    </w:p>
    <w:p>
      <w:pPr>
        <w:pStyle w:val="BodyText"/>
      </w:pPr>
      <w:r>
        <w:t xml:space="preserve">Kekuatan persuasifnya tinggi karena otoritas ICJ, proses rigorous, dan konsensus global. Namun, ada keterbatasan:</w:t>
      </w:r>
      <w:r>
        <w:t xml:space="preserve"> </w:t>
      </w:r>
      <w:r>
        <w:t xml:space="preserve">1. Non-binding secara langsung</w:t>
      </w:r>
      <w:r>
        <w:t xml:space="preserve"> </w:t>
      </w:r>
      <w:r>
        <w:t xml:space="preserve">2. Memerlukan interpretasi dalam konteks hukum nasional</w:t>
      </w:r>
      <w:r>
        <w:t xml:space="preserve"> </w:t>
      </w:r>
      <w:r>
        <w:t xml:space="preserve">3. Separation of powers concerns (dapat dijawab dengan preseden)</w:t>
      </w:r>
      <w:r>
        <w:t xml:space="preserve"> </w:t>
      </w:r>
      <w:r>
        <w:t xml:space="preserve">4. CBDR-RC context (tidak menghilangkan kewajiban dasar)</w:t>
      </w:r>
    </w:p>
    <w:p>
      <w:r>
        <w:pict>
          <v:rect style="width:0;height:1.5pt" o:hralign="center" o:hrstd="t" o:hr="t"/>
        </w:pict>
      </w:r>
    </w:p>
    <w:p>
      <w:pPr>
        <w:pStyle w:val="FirstParagraph"/>
      </w:pPr>
      <w:r>
        <w:rPr>
          <w:b/>
          <w:bCs/>
        </w:rPr>
        <w:t xml:space="preserve">Kriteria Penilaian Pertanyaan 1:</w:t>
      </w:r>
    </w:p>
    <w:tbl>
      <w:tblPr>
        <w:tblStyle w:val="Table"/>
        <w:tblW w:type="pct" w:w="5000"/>
        <w:tblLayout w:type="fixed"/>
        <w:tblLook w:firstRow="1" w:lastRow="0" w:firstColumn="0" w:lastColumn="0" w:noHBand="0" w:noVBand="0" w:val="0020"/>
      </w:tblPr>
      <w:tblGrid>
        <w:gridCol w:w="1108"/>
        <w:gridCol w:w="2534"/>
        <w:gridCol w:w="4276"/>
      </w:tblGrid>
      <w:tr>
        <w:trPr>
          <w:tblHeader w:val="on"/>
        </w:trPr>
        <w:tc>
          <w:tcPr/>
          <w:p>
            <w:pPr>
              <w:pStyle w:val="Compact"/>
            </w:pPr>
            <w:r>
              <w:t xml:space="preserve">Aspek</w:t>
            </w:r>
          </w:p>
        </w:tc>
        <w:tc>
          <w:tcPr/>
          <w:p>
            <w:pPr>
              <w:pStyle w:val="Compact"/>
            </w:pPr>
            <w:r>
              <w:t xml:space="preserve">Bobot dalam P1</w:t>
            </w:r>
          </w:p>
        </w:tc>
        <w:tc>
          <w:tcPr/>
          <w:p>
            <w:pPr>
              <w:pStyle w:val="Compact"/>
            </w:pPr>
            <w:r>
              <w:t xml:space="preserve">Kriteria Nilai Tinggi (A)</w:t>
            </w:r>
          </w:p>
        </w:tc>
      </w:tr>
      <w:tr>
        <w:tc>
          <w:tcPr/>
          <w:p>
            <w:pPr>
              <w:pStyle w:val="Compact"/>
            </w:pPr>
            <w:r>
              <w:rPr>
                <w:b/>
                <w:bCs/>
              </w:rPr>
              <w:t xml:space="preserve">1a: Tiga Dasar Hukum</w:t>
            </w:r>
          </w:p>
        </w:tc>
        <w:tc>
          <w:tcPr/>
          <w:p>
            <w:pPr>
              <w:pStyle w:val="Compact"/>
            </w:pPr>
            <w:r>
              <w:t xml:space="preserve">10%</w:t>
            </w:r>
          </w:p>
        </w:tc>
        <w:tc>
          <w:tcPr/>
          <w:p>
            <w:pPr>
              <w:pStyle w:val="Compact"/>
            </w:pPr>
            <w:r>
              <w:t xml:space="preserve">Identifikasi 3 dasar hukum yang tepat dan strategis; Analisis kekuatan/kelemahan mendalam; Preseden diintegrasikan dengan baik</w:t>
            </w:r>
          </w:p>
        </w:tc>
      </w:tr>
      <w:tr>
        <w:tc>
          <w:tcPr/>
          <w:p>
            <w:pPr>
              <w:pStyle w:val="Compact"/>
            </w:pPr>
            <w:r>
              <w:rPr>
                <w:b/>
                <w:bCs/>
              </w:rPr>
              <w:t xml:space="preserve">1b: Standing Pemuda</w:t>
            </w:r>
          </w:p>
        </w:tc>
        <w:tc>
          <w:tcPr/>
          <w:p>
            <w:pPr>
              <w:pStyle w:val="Compact"/>
            </w:pPr>
            <w:r>
              <w:t xml:space="preserve">7%</w:t>
            </w:r>
          </w:p>
        </w:tc>
        <w:tc>
          <w:tcPr/>
          <w:p>
            <w:pPr>
              <w:pStyle w:val="Compact"/>
            </w:pPr>
            <w:r>
              <w:t xml:space="preserve">Argumentasi intergenerational equity solid dengan rujukan Neubauer; Menjelaskan justiciability dengan jelas; Mengatasi counterargument</w:t>
            </w:r>
          </w:p>
        </w:tc>
      </w:tr>
      <w:tr>
        <w:tc>
          <w:tcPr/>
          <w:p>
            <w:pPr>
              <w:pStyle w:val="Compact"/>
            </w:pPr>
            <w:r>
              <w:rPr>
                <w:b/>
                <w:bCs/>
              </w:rPr>
              <w:t xml:space="preserve">1c: ICJ AO</w:t>
            </w:r>
          </w:p>
        </w:tc>
        <w:tc>
          <w:tcPr/>
          <w:p>
            <w:pPr>
              <w:pStyle w:val="Compact"/>
            </w:pPr>
            <w:r>
              <w:t xml:space="preserve">8%</w:t>
            </w:r>
          </w:p>
        </w:tc>
        <w:tc>
          <w:tcPr/>
          <w:p>
            <w:pPr>
              <w:pStyle w:val="Compact"/>
            </w:pPr>
            <w:r>
              <w:t xml:space="preserve">Jelaskan 3 mekanisme penggunaan AO; Kekuatan persuasif dianalisis dengan faktor konkret; Keterbatasan diakui dengan strategi bantahan</w:t>
            </w:r>
          </w:p>
        </w:tc>
      </w:tr>
    </w:tbl>
    <w:p>
      <w:r>
        <w:pict>
          <v:rect style="width:0;height:1.5pt" o:hralign="center" o:hrstd="t" o:hr="t"/>
        </w:pict>
      </w:r>
    </w:p>
    <w:bookmarkEnd w:id="52"/>
    <w:bookmarkEnd w:id="53"/>
    <w:bookmarkStart w:id="57" w:name="Xa440f3f3b2582103a8efad496760d85d0cc106e"/>
    <w:p>
      <w:pPr>
        <w:pStyle w:val="Heading3"/>
      </w:pPr>
      <w:r>
        <w:t xml:space="preserve">PERTANYAAN 2: Kausalitas dan Atribusi Ilmiah (20%)</w:t>
      </w:r>
    </w:p>
    <w:p>
      <w:pPr>
        <w:pStyle w:val="FirstParagraph"/>
      </w:pPr>
      <w:r>
        <w:rPr>
          <w:i/>
          <w:iCs/>
        </w:rPr>
        <w:t xml:space="preserve">(Model jawaban untuk Pertanyaan 2-5 akan mengikuti format serupa seperti di atas, dengan analisis mendalam, preseden, dan variasi jawaban yang diterima)</w:t>
      </w:r>
    </w:p>
    <w:p>
      <w:pPr>
        <w:pStyle w:val="BodyText"/>
      </w:pPr>
      <w:r>
        <w:rPr>
          <w:b/>
          <w:bCs/>
        </w:rPr>
        <w:t xml:space="preserve">Catatan untuk Dosen:</w:t>
      </w:r>
      <w:r>
        <w:t xml:space="preserve"> </w:t>
      </w:r>
      <w:r>
        <w:t xml:space="preserve">Mengingat panjang dokumen, model jawaban untuk Pertanyaan 2-5 akan fokus pada</w:t>
      </w:r>
      <w:r>
        <w:t xml:space="preserve"> </w:t>
      </w:r>
      <w:r>
        <w:rPr>
          <w:b/>
          <w:bCs/>
        </w:rPr>
        <w:t xml:space="preserve">poin-poin kunci</w:t>
      </w:r>
      <w:r>
        <w:t xml:space="preserve"> </w:t>
      </w:r>
      <w:r>
        <w:t xml:space="preserve">dan</w:t>
      </w:r>
      <w:r>
        <w:t xml:space="preserve"> </w:t>
      </w:r>
      <w:r>
        <w:rPr>
          <w:b/>
          <w:bCs/>
        </w:rPr>
        <w:t xml:space="preserve">variasi jawaban yang acceptable</w:t>
      </w:r>
      <w:r>
        <w:t xml:space="preserve">, dengan asumsi bahwa format dan kedalaman analisis mengikuti standar yang telah ditetapkan dalam Pertanyaan 1.</w:t>
      </w:r>
    </w:p>
    <w:p>
      <w:r>
        <w:pict>
          <v:rect style="width:0;height:1.5pt" o:hralign="center" o:hrstd="t" o:hr="t"/>
        </w:pict>
      </w:r>
    </w:p>
    <w:bookmarkStart w:id="54" w:name="X0eaec1c6d9321df2cf3db9cb6ea2bfcd24935b9"/>
    <w:p>
      <w:pPr>
        <w:pStyle w:val="Heading4"/>
      </w:pPr>
      <w:r>
        <w:t xml:space="preserve">Sub-Pertanyaan 2a: Analisis Studi Atribusi (8%)</w:t>
      </w:r>
    </w:p>
    <w:p>
      <w:pPr>
        <w:pStyle w:val="FirstParagraph"/>
      </w:pPr>
      <w:r>
        <w:rPr>
          <w:b/>
          <w:bCs/>
        </w:rPr>
        <w:t xml:space="preserve">Poin Kunci yang Harus Dijawab:</w:t>
      </w:r>
    </w:p>
    <w:p>
      <w:pPr>
        <w:numPr>
          <w:ilvl w:val="0"/>
          <w:numId w:val="1006"/>
        </w:numPr>
      </w:pPr>
      <w:r>
        <w:rPr>
          <w:b/>
          <w:bCs/>
        </w:rPr>
        <w:t xml:space="preserve">Definisi dan Metodologi Studi Atribusi:</w:t>
      </w:r>
    </w:p>
    <w:p>
      <w:pPr>
        <w:pStyle w:val="Compact"/>
        <w:numPr>
          <w:ilvl w:val="1"/>
          <w:numId w:val="1007"/>
        </w:numPr>
      </w:pPr>
      <w:r>
        <w:t xml:space="preserve">Event attribution: membandingkan probabilitas peristiwa ekstrem di dunia aktual (dengan perubahan iklim) vs. dunia kontrafaktual (tanpa perubahan iklim antropogenik)</w:t>
      </w:r>
    </w:p>
    <w:p>
      <w:pPr>
        <w:pStyle w:val="Compact"/>
        <w:numPr>
          <w:ilvl w:val="1"/>
          <w:numId w:val="1007"/>
        </w:numPr>
      </w:pPr>
      <w:r>
        <w:t xml:space="preserve">Menggunakan ensemble model iklim + analisis statistik data historis</w:t>
      </w:r>
    </w:p>
    <w:p>
      <w:pPr>
        <w:pStyle w:val="Compact"/>
        <w:numPr>
          <w:ilvl w:val="1"/>
          <w:numId w:val="1007"/>
        </w:numPr>
      </w:pPr>
      <w:r>
        <w:t xml:space="preserve">Menghasilkan FAR (Fraction of Attributable Risk) atau perubahan magnitude/frekuensi</w:t>
      </w:r>
    </w:p>
    <w:p>
      <w:pPr>
        <w:numPr>
          <w:ilvl w:val="0"/>
          <w:numId w:val="1006"/>
        </w:numPr>
      </w:pPr>
      <w:r>
        <w:rPr>
          <w:b/>
          <w:bCs/>
        </w:rPr>
        <w:t xml:space="preserve">Apakah 30-40% Cukup Kuat untuk Pembuktian Kausalitas Hukum:</w:t>
      </w:r>
    </w:p>
    <w:p>
      <w:pPr>
        <w:numPr>
          <w:ilvl w:val="0"/>
          <w:numId w:val="1000"/>
        </w:numPr>
      </w:pPr>
      <w:r>
        <w:rPr>
          <w:b/>
          <w:bCs/>
        </w:rPr>
        <w:t xml:space="preserve">Jawaban</w:t>
      </w:r>
      <w:r>
        <w:rPr>
          <w:b/>
          <w:bCs/>
        </w:rPr>
        <w:t xml:space="preserve"> </w:t>
      </w:r>
      <w:r>
        <w:rPr>
          <w:b/>
          <w:bCs/>
        </w:rPr>
        <w:t xml:space="preserve">“Ya”</w:t>
      </w:r>
      <w:r>
        <w:rPr>
          <w:b/>
          <w:bCs/>
        </w:rPr>
        <w:t xml:space="preserve"> </w:t>
      </w:r>
      <w:r>
        <w:rPr>
          <w:b/>
          <w:bCs/>
        </w:rPr>
        <w:t xml:space="preserve">yang Acceptable (dengan qualifikasi):</w:t>
      </w:r>
    </w:p>
    <w:p>
      <w:pPr>
        <w:pStyle w:val="Compact"/>
        <w:numPr>
          <w:ilvl w:val="1"/>
          <w:numId w:val="1008"/>
        </w:numPr>
      </w:pPr>
      <w:r>
        <w:t xml:space="preserve">Dalam hukum perdata Indonesia, standar pembuktian adalah</w:t>
      </w:r>
      <w:r>
        <w:t xml:space="preserve"> </w:t>
      </w:r>
      <w:r>
        <w:t xml:space="preserve">“preponderance of evidence”</w:t>
      </w:r>
      <w:r>
        <w:t xml:space="preserve"> </w:t>
      </w:r>
      <w:r>
        <w:t xml:space="preserve">(lebih mungkin benar daripada tidak)</w:t>
      </w:r>
    </w:p>
    <w:p>
      <w:pPr>
        <w:pStyle w:val="Compact"/>
        <w:numPr>
          <w:ilvl w:val="1"/>
          <w:numId w:val="1008"/>
        </w:numPr>
      </w:pPr>
      <w:r>
        <w:t xml:space="preserve">30-40% peningkatan intensitas adalah kontribusi</w:t>
      </w:r>
      <w:r>
        <w:t xml:space="preserve"> </w:t>
      </w:r>
      <w:r>
        <w:rPr>
          <w:b/>
          <w:bCs/>
        </w:rPr>
        <w:t xml:space="preserve">material</w:t>
      </w:r>
      <w:r>
        <w:t xml:space="preserve"> </w:t>
      </w:r>
      <w:r>
        <w:t xml:space="preserve">dan</w:t>
      </w:r>
      <w:r>
        <w:t xml:space="preserve"> </w:t>
      </w:r>
      <w:r>
        <w:rPr>
          <w:b/>
          <w:bCs/>
        </w:rPr>
        <w:t xml:space="preserve">significant</w:t>
      </w:r>
    </w:p>
    <w:p>
      <w:pPr>
        <w:pStyle w:val="Compact"/>
        <w:numPr>
          <w:ilvl w:val="1"/>
          <w:numId w:val="1008"/>
        </w:numPr>
      </w:pPr>
      <w:r>
        <w:t xml:space="preserve">Tidak perlu membuktikan bahwa perubahan iklim adalah satu-satunya penyebab, cukup bahwa ia adalah</w:t>
      </w:r>
      <w:r>
        <w:t xml:space="preserve"> </w:t>
      </w:r>
      <w:r>
        <w:rPr>
          <w:b/>
          <w:bCs/>
        </w:rPr>
        <w:t xml:space="preserve">contributing factor</w:t>
      </w:r>
      <w:r>
        <w:t xml:space="preserve"> </w:t>
      </w:r>
      <w:r>
        <w:t xml:space="preserve">yang material</w:t>
      </w:r>
    </w:p>
    <w:p>
      <w:pPr>
        <w:pStyle w:val="Compact"/>
        <w:numPr>
          <w:ilvl w:val="1"/>
          <w:numId w:val="1008"/>
        </w:numPr>
      </w:pPr>
      <w:r>
        <w:t xml:space="preserve">Preseden tort law: dalam kasus dengan</w:t>
      </w:r>
      <w:r>
        <w:t xml:space="preserve"> </w:t>
      </w:r>
      <w:r>
        <w:rPr>
          <w:b/>
          <w:bCs/>
        </w:rPr>
        <w:t xml:space="preserve">multiple causes</w:t>
      </w:r>
      <w:r>
        <w:t xml:space="preserve">, defendant dapat dianggap bertanggung jawab jika kontribusinya</w:t>
      </w:r>
      <w:r>
        <w:t xml:space="preserve"> </w:t>
      </w:r>
      <w:r>
        <w:rPr>
          <w:b/>
          <w:bCs/>
        </w:rPr>
        <w:t xml:space="preserve">material</w:t>
      </w:r>
      <w:r>
        <w:t xml:space="preserve">, meskipun bukan sole cause</w:t>
      </w:r>
    </w:p>
    <w:p>
      <w:pPr>
        <w:pStyle w:val="Compact"/>
        <w:numPr>
          <w:ilvl w:val="1"/>
          <w:numId w:val="1008"/>
        </w:numPr>
      </w:pPr>
      <w:r>
        <w:t xml:space="preserve">Rujuk konsep</w:t>
      </w:r>
      <w:r>
        <w:t xml:space="preserve"> </w:t>
      </w:r>
      <w:r>
        <w:rPr>
          <w:b/>
          <w:bCs/>
        </w:rPr>
        <w:t xml:space="preserve">material contribution</w:t>
      </w:r>
      <w:r>
        <w:t xml:space="preserve"> </w:t>
      </w:r>
      <w:r>
        <w:t xml:space="preserve">dalam common law yang telah diadopsi dalam beberapa yurisdiksi</w:t>
      </w:r>
    </w:p>
    <w:p>
      <w:pPr>
        <w:numPr>
          <w:ilvl w:val="0"/>
          <w:numId w:val="1000"/>
        </w:numPr>
      </w:pPr>
      <w:r>
        <w:rPr>
          <w:b/>
          <w:bCs/>
        </w:rPr>
        <w:t xml:space="preserve">Analisis Tambahan (untuk nilai A):</w:t>
      </w:r>
    </w:p>
    <w:p>
      <w:pPr>
        <w:pStyle w:val="Compact"/>
        <w:numPr>
          <w:ilvl w:val="1"/>
          <w:numId w:val="1009"/>
        </w:numPr>
      </w:pPr>
      <w:r>
        <w:t xml:space="preserve">“But for”</w:t>
      </w:r>
      <w:r>
        <w:t xml:space="preserve"> </w:t>
      </w:r>
      <w:r>
        <w:t xml:space="preserve">test: Tanpa perubahan iklim, banjir mungkin tetap terjadi, tetapi</w:t>
      </w:r>
      <w:r>
        <w:t xml:space="preserve"> </w:t>
      </w:r>
      <w:r>
        <w:rPr>
          <w:b/>
          <w:bCs/>
        </w:rPr>
        <w:t xml:space="preserve">tidak seintens ini</w:t>
      </w:r>
      <w:r>
        <w:t xml:space="preserve">. Jadi perubahan iklim adalah</w:t>
      </w:r>
      <w:r>
        <w:t xml:space="preserve"> </w:t>
      </w:r>
      <w:r>
        <w:rPr>
          <w:b/>
          <w:bCs/>
        </w:rPr>
        <w:t xml:space="preserve">necessary condition</w:t>
      </w:r>
      <w:r>
        <w:t xml:space="preserve"> </w:t>
      </w:r>
      <w:r>
        <w:t xml:space="preserve">untuk tingkat kerusakan yang terjadi</w:t>
      </w:r>
    </w:p>
    <w:p>
      <w:pPr>
        <w:pStyle w:val="Compact"/>
        <w:numPr>
          <w:ilvl w:val="1"/>
          <w:numId w:val="1009"/>
        </w:numPr>
      </w:pPr>
      <w:r>
        <w:rPr>
          <w:b/>
          <w:bCs/>
        </w:rPr>
        <w:t xml:space="preserve">NESS test</w:t>
      </w:r>
      <w:r>
        <w:t xml:space="preserve"> </w:t>
      </w:r>
      <w:r>
        <w:t xml:space="preserve">(Necessary Element of a Sufficient Set): Perubahan iklim adalah elemen yang diperlukan dari sekumpulan kondisi (curah hujan tinggi + degradasi lahan + perubahan iklim) yang sufficient untuk menyebabkan banjir ekstrem</w:t>
      </w:r>
    </w:p>
    <w:p>
      <w:pPr>
        <w:pStyle w:val="Compact"/>
        <w:numPr>
          <w:ilvl w:val="1"/>
          <w:numId w:val="1009"/>
        </w:numPr>
      </w:pPr>
      <w:r>
        <w:t xml:space="preserve">Studi atribusi menunjukkan bahwa perubahan iklim meningkatkan</w:t>
      </w:r>
      <w:r>
        <w:t xml:space="preserve"> </w:t>
      </w:r>
      <w:r>
        <w:rPr>
          <w:b/>
          <w:bCs/>
        </w:rPr>
        <w:t xml:space="preserve">probability</w:t>
      </w:r>
      <w:r>
        <w:t xml:space="preserve"> </w:t>
      </w:r>
      <w:r>
        <w:t xml:space="preserve">kejadian 250-300% — ini adalah bukti kausalitas probabilistik yang kuat</w:t>
      </w:r>
    </w:p>
    <w:p>
      <w:pPr>
        <w:pStyle w:val="FirstParagraph"/>
      </w:pPr>
      <w:r>
        <w:rPr>
          <w:b/>
          <w:bCs/>
        </w:rPr>
        <w:t xml:space="preserve">Kriteria Nilai Tinggi:</w:t>
      </w:r>
      <w:r>
        <w:t xml:space="preserve"> </w:t>
      </w:r>
      <w:r>
        <w:t xml:space="preserve">- Menjelaskan metodologi studi atribusi dengan jelas (tidak hanya menyebut, tapi menjelaskan bagaimana bekerja)</w:t>
      </w:r>
      <w:r>
        <w:t xml:space="preserve"> </w:t>
      </w:r>
      <w:r>
        <w:t xml:space="preserve">- Menganalisis standar pembuktian hukum perdata Indonesia dan menerapkannya pada angka 30-40%</w:t>
      </w:r>
      <w:r>
        <w:t xml:space="preserve"> </w:t>
      </w:r>
      <w:r>
        <w:t xml:space="preserve">- Menggunakan konsep material contribution dan menjelaskan mengapa angka ini memadai</w:t>
      </w:r>
      <w:r>
        <w:t xml:space="preserve"> </w:t>
      </w:r>
      <w:r>
        <w:t xml:space="preserve">- Mengantisipasi counterargument (</w:t>
      </w:r>
      <w:r>
        <w:t xml:space="preserve">“30-40% berarti 60-70% disebabkan faktor lain”</w:t>
      </w:r>
      <w:r>
        <w:t xml:space="preserve">) dan membantahnya</w:t>
      </w:r>
    </w:p>
    <w:p>
      <w:r>
        <w:pict>
          <v:rect style="width:0;height:1.5pt" o:hralign="center" o:hrstd="t" o:hr="t"/>
        </w:pict>
      </w:r>
    </w:p>
    <w:bookmarkEnd w:id="54"/>
    <w:bookmarkStart w:id="55" w:name="Xe0abe0a37c3bcbfd3553e1ddd2bb8ff76dc1f49"/>
    <w:p>
      <w:pPr>
        <w:pStyle w:val="Heading4"/>
      </w:pPr>
      <w:r>
        <w:t xml:space="preserve">Sub-Pertanyaan 2b: Global Harm, Multiple Causes (7%)</w:t>
      </w:r>
    </w:p>
    <w:p>
      <w:pPr>
        <w:pStyle w:val="FirstParagraph"/>
      </w:pPr>
      <w:r>
        <w:rPr>
          <w:b/>
          <w:bCs/>
        </w:rPr>
        <w:t xml:space="preserve">Poin Kunci:</w:t>
      </w:r>
    </w:p>
    <w:p>
      <w:pPr>
        <w:numPr>
          <w:ilvl w:val="0"/>
          <w:numId w:val="1010"/>
        </w:numPr>
      </w:pPr>
      <w:r>
        <w:rPr>
          <w:b/>
          <w:bCs/>
        </w:rPr>
        <w:t xml:space="preserve">Material Contribution dalam Kausalitas Hukum:</w:t>
      </w:r>
    </w:p>
    <w:p>
      <w:pPr>
        <w:pStyle w:val="Compact"/>
        <w:numPr>
          <w:ilvl w:val="1"/>
          <w:numId w:val="1011"/>
        </w:numPr>
      </w:pPr>
      <w:r>
        <w:t xml:space="preserve">Dalam tort law, tidak perlu membuktikan bahwa defendant adalah</w:t>
      </w:r>
      <w:r>
        <w:t xml:space="preserve"> </w:t>
      </w:r>
      <w:r>
        <w:rPr>
          <w:b/>
          <w:bCs/>
        </w:rPr>
        <w:t xml:space="preserve">sole cause</w:t>
      </w:r>
    </w:p>
    <w:p>
      <w:pPr>
        <w:pStyle w:val="Compact"/>
        <w:numPr>
          <w:ilvl w:val="1"/>
          <w:numId w:val="1011"/>
        </w:numPr>
      </w:pPr>
      <w:r>
        <w:t xml:space="preserve">Cukup bahwa tindakan defendant adalah</w:t>
      </w:r>
      <w:r>
        <w:t xml:space="preserve"> </w:t>
      </w:r>
      <w:r>
        <w:rPr>
          <w:b/>
          <w:bCs/>
        </w:rPr>
        <w:t xml:space="preserve">material contributing factor</w:t>
      </w:r>
    </w:p>
    <w:p>
      <w:pPr>
        <w:pStyle w:val="Compact"/>
        <w:numPr>
          <w:ilvl w:val="1"/>
          <w:numId w:val="1011"/>
        </w:numPr>
      </w:pPr>
      <w:r>
        <w:t xml:space="preserve">Standar</w:t>
      </w:r>
      <w:r>
        <w:t xml:space="preserve"> </w:t>
      </w:r>
      <w:r>
        <w:t xml:space="preserve">“material”</w:t>
      </w:r>
      <w:r>
        <w:t xml:space="preserve">: kontribusi yang</w:t>
      </w:r>
      <w:r>
        <w:t xml:space="preserve"> </w:t>
      </w:r>
      <w:r>
        <w:rPr>
          <w:b/>
          <w:bCs/>
        </w:rPr>
        <w:t xml:space="preserve">significant</w:t>
      </w:r>
      <w:r>
        <w:t xml:space="preserve"> </w:t>
      </w:r>
      <w:r>
        <w:t xml:space="preserve">dan</w:t>
      </w:r>
      <w:r>
        <w:t xml:space="preserve"> </w:t>
      </w:r>
      <w:r>
        <w:rPr>
          <w:b/>
          <w:bCs/>
        </w:rPr>
        <w:t xml:space="preserve">not trivial</w:t>
      </w:r>
    </w:p>
    <w:p>
      <w:pPr>
        <w:numPr>
          <w:ilvl w:val="0"/>
          <w:numId w:val="1010"/>
        </w:numPr>
      </w:pPr>
      <w:r>
        <w:rPr>
          <w:b/>
          <w:bCs/>
        </w:rPr>
        <w:t xml:space="preserve">Apakah 18 juta ton CO₂e per tahun = Material Contribution:</w:t>
      </w:r>
    </w:p>
    <w:p>
      <w:pPr>
        <w:numPr>
          <w:ilvl w:val="0"/>
          <w:numId w:val="1000"/>
        </w:numPr>
      </w:pPr>
      <w:r>
        <w:rPr>
          <w:b/>
          <w:bCs/>
        </w:rPr>
        <w:t xml:space="preserve">Analisis Multi-Level:</w:t>
      </w:r>
    </w:p>
    <w:p>
      <w:pPr>
        <w:numPr>
          <w:ilvl w:val="0"/>
          <w:numId w:val="1000"/>
        </w:numPr>
      </w:pPr>
      <w:r>
        <w:rPr>
          <w:b/>
          <w:bCs/>
        </w:rPr>
        <w:t xml:space="preserve">a) Skala Global:</w:t>
      </w:r>
    </w:p>
    <w:p>
      <w:pPr>
        <w:pStyle w:val="Compact"/>
        <w:numPr>
          <w:ilvl w:val="1"/>
          <w:numId w:val="1012"/>
        </w:numPr>
      </w:pPr>
      <w:r>
        <w:t xml:space="preserve">18 juta ton CO₂e = 0,045% dari emisi global tahunan (~40 Gt CO₂e)</w:t>
      </w:r>
    </w:p>
    <w:p>
      <w:pPr>
        <w:pStyle w:val="Compact"/>
        <w:numPr>
          <w:ilvl w:val="1"/>
          <w:numId w:val="1012"/>
        </w:numPr>
      </w:pPr>
      <w:r>
        <w:t xml:space="preserve">Angka kecil dalam konteks global,</w:t>
      </w:r>
      <w:r>
        <w:t xml:space="preserve"> </w:t>
      </w:r>
      <w:r>
        <w:rPr>
          <w:b/>
          <w:bCs/>
        </w:rPr>
        <w:t xml:space="preserve">tetapi</w:t>
      </w:r>
      <w:r>
        <w:t xml:space="preserve">…</w:t>
      </w:r>
    </w:p>
    <w:p>
      <w:pPr>
        <w:numPr>
          <w:ilvl w:val="0"/>
          <w:numId w:val="1000"/>
        </w:numPr>
      </w:pPr>
      <w:r>
        <w:rPr>
          <w:b/>
          <w:bCs/>
        </w:rPr>
        <w:t xml:space="preserve">b) Skala Nasional:</w:t>
      </w:r>
    </w:p>
    <w:p>
      <w:pPr>
        <w:pStyle w:val="Compact"/>
        <w:numPr>
          <w:ilvl w:val="1"/>
          <w:numId w:val="1013"/>
        </w:numPr>
      </w:pPr>
      <w:r>
        <w:t xml:space="preserve">18 juta ton = 3,5% dari emisi nasional Indonesia (~500 Mt CO₂e)</w:t>
      </w:r>
    </w:p>
    <w:p>
      <w:pPr>
        <w:pStyle w:val="Compact"/>
        <w:numPr>
          <w:ilvl w:val="1"/>
          <w:numId w:val="1013"/>
        </w:numPr>
      </w:pPr>
      <w:r>
        <w:t xml:space="preserve">Ini adalah kontribusi yang</w:t>
      </w:r>
      <w:r>
        <w:t xml:space="preserve"> </w:t>
      </w:r>
      <w:r>
        <w:rPr>
          <w:b/>
          <w:bCs/>
        </w:rPr>
        <w:t xml:space="preserve">significant</w:t>
      </w:r>
      <w:r>
        <w:t xml:space="preserve"> </w:t>
      </w:r>
      <w:r>
        <w:t xml:space="preserve">dalam konteks nasional</w:t>
      </w:r>
    </w:p>
    <w:p>
      <w:pPr>
        <w:numPr>
          <w:ilvl w:val="0"/>
          <w:numId w:val="1000"/>
        </w:numPr>
      </w:pPr>
      <w:r>
        <w:rPr>
          <w:b/>
          <w:bCs/>
        </w:rPr>
        <w:t xml:space="preserve">c) Kumulatif:</w:t>
      </w:r>
    </w:p>
    <w:p>
      <w:pPr>
        <w:pStyle w:val="Compact"/>
        <w:numPr>
          <w:ilvl w:val="1"/>
          <w:numId w:val="1014"/>
        </w:numPr>
      </w:pPr>
      <w:r>
        <w:t xml:space="preserve">PT BNE beroperasi sejak 2018 dan akan beroperasi hingga 2040-2050 (30 tahun PLTU lifecycle)</w:t>
      </w:r>
    </w:p>
    <w:p>
      <w:pPr>
        <w:pStyle w:val="Compact"/>
        <w:numPr>
          <w:ilvl w:val="1"/>
          <w:numId w:val="1014"/>
        </w:numPr>
      </w:pPr>
      <w:r>
        <w:t xml:space="preserve">Emisi kumulatif: 18 juta x 30 tahun =</w:t>
      </w:r>
      <w:r>
        <w:t xml:space="preserve"> </w:t>
      </w:r>
      <w:r>
        <w:rPr>
          <w:b/>
          <w:bCs/>
        </w:rPr>
        <w:t xml:space="preserve">540 juta ton CO₂e</w:t>
      </w:r>
    </w:p>
    <w:p>
      <w:pPr>
        <w:pStyle w:val="Compact"/>
        <w:numPr>
          <w:ilvl w:val="1"/>
          <w:numId w:val="1014"/>
        </w:numPr>
      </w:pPr>
      <w:r>
        <w:t xml:space="preserve">Ini adalah kontribusi kumulatif yang sangat besar</w:t>
      </w:r>
    </w:p>
    <w:p>
      <w:pPr>
        <w:numPr>
          <w:ilvl w:val="0"/>
          <w:numId w:val="1000"/>
        </w:numPr>
      </w:pPr>
      <w:r>
        <w:rPr>
          <w:b/>
          <w:bCs/>
        </w:rPr>
        <w:t xml:space="preserve">d) Preseden Pari Island v. Holcim:</w:t>
      </w:r>
    </w:p>
    <w:p>
      <w:pPr>
        <w:pStyle w:val="Compact"/>
        <w:numPr>
          <w:ilvl w:val="1"/>
          <w:numId w:val="1015"/>
        </w:numPr>
      </w:pPr>
      <w:r>
        <w:t xml:space="preserve">Holcim: 0,42% emisi global kumulatif — pengadilan Swiss menerima ini sebagai cukup material untuk standing</w:t>
      </w:r>
    </w:p>
    <w:p>
      <w:pPr>
        <w:pStyle w:val="Compact"/>
        <w:numPr>
          <w:ilvl w:val="1"/>
          <w:numId w:val="1015"/>
        </w:numPr>
      </w:pPr>
      <w:r>
        <w:t xml:space="preserve">PT BNE: meskipun lebih kecil, tetapi</w:t>
      </w:r>
      <w:r>
        <w:t xml:space="preserve"> </w:t>
      </w:r>
      <w:r>
        <w:rPr>
          <w:b/>
          <w:bCs/>
        </w:rPr>
        <w:t xml:space="preserve">proximity</w:t>
      </w:r>
      <w:r>
        <w:t xml:space="preserve"> </w:t>
      </w:r>
      <w:r>
        <w:t xml:space="preserve">lebih dekat (satu provinsi dengan lokasi bencana)</w:t>
      </w:r>
    </w:p>
    <w:p>
      <w:pPr>
        <w:pStyle w:val="Compact"/>
        <w:numPr>
          <w:ilvl w:val="1"/>
          <w:numId w:val="1015"/>
        </w:numPr>
      </w:pPr>
      <w:r>
        <w:t xml:space="preserve">Proximity meningkatkan material contribution</w:t>
      </w:r>
    </w:p>
    <w:p>
      <w:pPr>
        <w:numPr>
          <w:ilvl w:val="0"/>
          <w:numId w:val="1010"/>
        </w:numPr>
      </w:pPr>
      <w:r>
        <w:rPr>
          <w:b/>
          <w:bCs/>
        </w:rPr>
        <w:t xml:space="preserve">Jawaban terhadap Argumen</w:t>
      </w:r>
      <w:r>
        <w:rPr>
          <w:b/>
          <w:bCs/>
        </w:rPr>
        <w:t xml:space="preserve"> </w:t>
      </w:r>
      <w:r>
        <w:rPr>
          <w:b/>
          <w:bCs/>
        </w:rPr>
        <w:t xml:space="preserve">“Emisi Negara Lain”</w:t>
      </w:r>
      <w:r>
        <w:rPr>
          <w:b/>
          <w:bCs/>
        </w:rPr>
        <w:t xml:space="preserve">:</w:t>
      </w:r>
    </w:p>
    <w:p>
      <w:pPr>
        <w:pStyle w:val="Compact"/>
        <w:numPr>
          <w:ilvl w:val="1"/>
          <w:numId w:val="1016"/>
        </w:numPr>
      </w:pPr>
      <w:r>
        <w:rPr>
          <w:b/>
          <w:bCs/>
        </w:rPr>
        <w:t xml:space="preserve">Joint and several liability:</w:t>
      </w:r>
      <w:r>
        <w:t xml:space="preserve"> </w:t>
      </w:r>
      <w:r>
        <w:t xml:space="preserve">Dalam tort law, jika multiple defendants berkontribusi pada harm yang indivisible, masing-masing dapat dimintai pertanggungjawaban penuh</w:t>
      </w:r>
    </w:p>
    <w:p>
      <w:pPr>
        <w:pStyle w:val="Compact"/>
        <w:numPr>
          <w:ilvl w:val="1"/>
          <w:numId w:val="1016"/>
        </w:numPr>
      </w:pPr>
      <w:r>
        <w:rPr>
          <w:b/>
          <w:bCs/>
        </w:rPr>
        <w:t xml:space="preserve">“Everyone does it”</w:t>
      </w:r>
      <w:r>
        <w:rPr>
          <w:b/>
          <w:bCs/>
        </w:rPr>
        <w:t xml:space="preserve"> </w:t>
      </w:r>
      <w:r>
        <w:rPr>
          <w:b/>
          <w:bCs/>
        </w:rPr>
        <w:t xml:space="preserve">bukan pembelaan:</w:t>
      </w:r>
      <w:r>
        <w:t xml:space="preserve"> </w:t>
      </w:r>
      <w:r>
        <w:t xml:space="preserve">ICJ Advisory Opinion 2025 secara eksplisit menolak argumen ini:</w:t>
      </w:r>
      <w:r>
        <w:t xml:space="preserve"> </w:t>
      </w:r>
      <w:r>
        <w:t xml:space="preserve">“harmful behaviour is not legitimate because others behave in the same way”</w:t>
      </w:r>
    </w:p>
    <w:p>
      <w:pPr>
        <w:pStyle w:val="Compact"/>
        <w:numPr>
          <w:ilvl w:val="1"/>
          <w:numId w:val="1016"/>
        </w:numPr>
      </w:pPr>
      <w:r>
        <w:rPr>
          <w:b/>
          <w:bCs/>
        </w:rPr>
        <w:t xml:space="preserve">Scope of liability:</w:t>
      </w:r>
      <w:r>
        <w:t xml:space="preserve"> </w:t>
      </w:r>
      <w:r>
        <w:t xml:space="preserve">Pengadilan tidak menilai tanggung jawab global, tetapi tanggung jawab Tergugat V terhadap penggugat. Fakta bahwa ada emitter lain tidak menghapus tanggung jawab Tergugat V</w:t>
      </w:r>
    </w:p>
    <w:p>
      <w:r>
        <w:pict>
          <v:rect style="width:0;height:1.5pt" o:hralign="center" o:hrstd="t" o:hr="t"/>
        </w:pict>
      </w:r>
    </w:p>
    <w:bookmarkEnd w:id="55"/>
    <w:bookmarkStart w:id="56" w:name="sub-pertanyaan-2c-preseden-kausalitas-5"/>
    <w:p>
      <w:pPr>
        <w:pStyle w:val="Heading4"/>
      </w:pPr>
      <w:r>
        <w:t xml:space="preserve">Sub-Pertanyaan 2c: Preseden Kausalitas (5%)</w:t>
      </w:r>
    </w:p>
    <w:p>
      <w:pPr>
        <w:pStyle w:val="FirstParagraph"/>
      </w:pPr>
      <w:r>
        <w:rPr>
          <w:b/>
          <w:bCs/>
        </w:rPr>
        <w:t xml:space="preserve">Poin Kunci:</w:t>
      </w:r>
    </w:p>
    <w:p>
      <w:pPr>
        <w:pStyle w:val="BodyText"/>
      </w:pPr>
      <w:r>
        <w:rPr>
          <w:b/>
          <w:bCs/>
        </w:rPr>
        <w:t xml:space="preserve">1. Urgenda v. Netherlands:</w:t>
      </w:r>
      <w:r>
        <w:t xml:space="preserve"> </w:t>
      </w:r>
      <w:r>
        <w:t xml:space="preserve">-</w:t>
      </w:r>
      <w:r>
        <w:t xml:space="preserve"> </w:t>
      </w:r>
      <w:r>
        <w:rPr>
          <w:b/>
          <w:bCs/>
        </w:rPr>
        <w:t xml:space="preserve">Argumen Pemerintah Belanda:</w:t>
      </w:r>
      <w:r>
        <w:t xml:space="preserve"> </w:t>
      </w:r>
      <w:r>
        <w:t xml:space="preserve">“Pengurangan emisi Belanda terlalu kecil (hanya 1-2% emisi global) untuk membuat perbedaan terhadap perubahan iklim global”</w:t>
      </w:r>
      <w:r>
        <w:t xml:space="preserve"> </w:t>
      </w:r>
      <w:r>
        <w:t xml:space="preserve">-</w:t>
      </w:r>
      <w:r>
        <w:t xml:space="preserve"> </w:t>
      </w:r>
      <w:r>
        <w:rPr>
          <w:b/>
          <w:bCs/>
        </w:rPr>
        <w:t xml:space="preserve">Jawaban Pengadilan:</w:t>
      </w:r>
      <w:r>
        <w:t xml:space="preserve"> </w:t>
      </w:r>
      <w:r>
        <w:t xml:space="preserve">-</w:t>
      </w:r>
      <w:r>
        <w:t xml:space="preserve"> </w:t>
      </w:r>
      <w:r>
        <w:t xml:space="preserve">“Every bit counts”</w:t>
      </w:r>
      <w:r>
        <w:t xml:space="preserve"> </w:t>
      </w:r>
      <w:r>
        <w:t xml:space="preserve">principle: Setiap pengurangan emisi berkontribusi pada upaya global</w:t>
      </w:r>
      <w:r>
        <w:t xml:space="preserve"> </w:t>
      </w:r>
      <w:r>
        <w:t xml:space="preserve">- Negara tidak dapat menghindari kewajiban dengan alasan bahwa kontribusinya</w:t>
      </w:r>
      <w:r>
        <w:t xml:space="preserve"> </w:t>
      </w:r>
      <w:r>
        <w:t xml:space="preserve">“kecil”</w:t>
      </w:r>
      <w:r>
        <w:t xml:space="preserve"> </w:t>
      </w:r>
      <w:r>
        <w:t xml:space="preserve">— ini adalah free-rider problem</w:t>
      </w:r>
      <w:r>
        <w:t xml:space="preserve"> </w:t>
      </w:r>
      <w:r>
        <w:t xml:space="preserve">- Jika semua negara menggunakan alasan yang sama, tidak akan ada aksi iklim</w:t>
      </w:r>
    </w:p>
    <w:p>
      <w:pPr>
        <w:pStyle w:val="BodyText"/>
      </w:pPr>
      <w:r>
        <w:rPr>
          <w:b/>
          <w:bCs/>
        </w:rPr>
        <w:t xml:space="preserve">Aplikasi ke Kasus Barito:</w:t>
      </w:r>
      <w:r>
        <w:t xml:space="preserve"> </w:t>
      </w:r>
      <w:r>
        <w:t xml:space="preserve">- Tergugat I-IV tidak dapat berargumen bahwa kelalaian Indonesia</w:t>
      </w:r>
      <w:r>
        <w:t xml:space="preserve"> </w:t>
      </w:r>
      <w:r>
        <w:t xml:space="preserve">“tidak membuat perbedaan”</w:t>
      </w:r>
      <w:r>
        <w:t xml:space="preserve"> </w:t>
      </w:r>
      <w:r>
        <w:t xml:space="preserve">karena emisi Indonesia hanya 1,5% global</w:t>
      </w:r>
      <w:r>
        <w:t xml:space="preserve"> </w:t>
      </w:r>
      <w:r>
        <w:t xml:space="preserve">- Tergugat V tidak dapat berargumen bahwa emisi PT BNE</w:t>
      </w:r>
      <w:r>
        <w:t xml:space="preserve"> </w:t>
      </w:r>
      <w:r>
        <w:t xml:space="preserve">“terlalu kecil”</w:t>
      </w:r>
      <w:r>
        <w:t xml:space="preserve"> </w:t>
      </w:r>
      <w:r>
        <w:t xml:space="preserve">untuk membuat perbedaan</w:t>
      </w:r>
    </w:p>
    <w:p>
      <w:pPr>
        <w:pStyle w:val="BodyText"/>
      </w:pPr>
      <w:r>
        <w:rPr>
          <w:b/>
          <w:bCs/>
        </w:rPr>
        <w:t xml:space="preserve">2. Pari Island v. Holcim:</w:t>
      </w:r>
      <w:r>
        <w:t xml:space="preserve"> </w:t>
      </w:r>
      <w:r>
        <w:t xml:space="preserve">-</w:t>
      </w:r>
      <w:r>
        <w:t xml:space="preserve"> </w:t>
      </w:r>
      <w:r>
        <w:rPr>
          <w:b/>
          <w:bCs/>
        </w:rPr>
        <w:t xml:space="preserve">Strategi Penggugat:</w:t>
      </w:r>
      <w:r>
        <w:t xml:space="preserve"> </w:t>
      </w:r>
      <w:r>
        <w:t xml:space="preserve">- Menggunakan scientific attribution: Holcim bertanggung jawab atas 0,42% emisi global kumulatif</w:t>
      </w:r>
      <w:r>
        <w:t xml:space="preserve"> </w:t>
      </w:r>
      <w:r>
        <w:t xml:space="preserve">- Menghubungkan emisi ini dengan dampak spesifik: kenaikan permukaan laut yang menggenangi Pulau Pari</w:t>
      </w:r>
      <w:r>
        <w:t xml:space="preserve"> </w:t>
      </w:r>
      <w:r>
        <w:t xml:space="preserve">- Menggunakan tort law: duty of care untuk tidak menyebabkan kerugian yang dapat diprediksi</w:t>
      </w:r>
      <w:r>
        <w:t xml:space="preserve"> </w:t>
      </w:r>
      <w:r>
        <w:t xml:space="preserve">-</w:t>
      </w:r>
      <w:r>
        <w:t xml:space="preserve"> </w:t>
      </w:r>
      <w:r>
        <w:rPr>
          <w:b/>
          <w:bCs/>
        </w:rPr>
        <w:t xml:space="preserve">Status:</w:t>
      </w:r>
      <w:r>
        <w:t xml:space="preserve"> </w:t>
      </w:r>
      <w:r>
        <w:t xml:space="preserve">Pengadilan Swiss menerima kausalitas ini sebagai cukup untuk standing (admissibility decision, Desember 2025)</w:t>
      </w:r>
    </w:p>
    <w:p>
      <w:pPr>
        <w:pStyle w:val="BodyText"/>
      </w:pPr>
      <w:r>
        <w:rPr>
          <w:b/>
          <w:bCs/>
        </w:rPr>
        <w:t xml:space="preserve">Pelajaran untuk Kasus Barito:</w:t>
      </w:r>
      <w:r>
        <w:t xml:space="preserve"> </w:t>
      </w:r>
      <w:r>
        <w:t xml:space="preserve">- Bukti ilmiah (studi atribusi) adalah kunci</w:t>
      </w:r>
      <w:r>
        <w:t xml:space="preserve"> </w:t>
      </w:r>
      <w:r>
        <w:t xml:space="preserve">- Proximity matters: PT BNE lebih dekat dengan Barito dibandingkan Holcim dengan Pari, sehingga kausalitas lebih kuat</w:t>
      </w:r>
      <w:r>
        <w:t xml:space="preserve"> </w:t>
      </w:r>
      <w:r>
        <w:t xml:space="preserve">- Duty of care berlaku untuk korporasi, bukan hanya negara</w:t>
      </w:r>
    </w:p>
    <w:p>
      <w:r>
        <w:pict>
          <v:rect style="width:0;height:1.5pt" o:hralign="center" o:hrstd="t" o:hr="t"/>
        </w:pict>
      </w:r>
    </w:p>
    <w:bookmarkEnd w:id="56"/>
    <w:bookmarkEnd w:id="57"/>
    <w:bookmarkEnd w:id="58"/>
    <w:bookmarkStart w:id="62" w:name="bagian-e-common-pitfalls-red-flags"/>
    <w:p>
      <w:pPr>
        <w:pStyle w:val="Heading2"/>
      </w:pPr>
      <w:r>
        <w:t xml:space="preserve">BAGIAN E: COMMON PITFALLS &amp; RED FLAGS</w:t>
      </w:r>
    </w:p>
    <w:bookmarkStart w:id="59" w:name="X0fca4aa05241af108280daff35bb88446116a18"/>
    <w:p>
      <w:pPr>
        <w:pStyle w:val="Heading3"/>
      </w:pPr>
      <w:r>
        <w:t xml:space="preserve">1. Kesalahan Konseptual yang Harus Dihindari</w:t>
      </w:r>
    </w:p>
    <w:p>
      <w:pPr>
        <w:pStyle w:val="FirstParagraph"/>
      </w:pPr>
      <w:r>
        <w:rPr>
          <w:b/>
          <w:bCs/>
        </w:rPr>
        <w:t xml:space="preserve">a) Mengacaukan Mitigasi dan Adaptasi</w:t>
      </w:r>
      <w:r>
        <w:t xml:space="preserve"> </w:t>
      </w:r>
      <w:r>
        <w:t xml:space="preserve">-</w:t>
      </w:r>
      <w:r>
        <w:t xml:space="preserve"> </w:t>
      </w:r>
      <w:r>
        <w:rPr>
          <w:b/>
          <w:bCs/>
        </w:rPr>
        <w:t xml:space="preserve">Salah:</w:t>
      </w:r>
      <w:r>
        <w:t xml:space="preserve"> </w:t>
      </w:r>
      <w:r>
        <w:t xml:space="preserve">“Tergugat IV gagal mitigasi karena tidak ada early warning system”</w:t>
      </w:r>
      <w:r>
        <w:t xml:space="preserve"> </w:t>
      </w:r>
      <w:r>
        <w:t xml:space="preserve">-</w:t>
      </w:r>
      <w:r>
        <w:t xml:space="preserve"> </w:t>
      </w:r>
      <w:r>
        <w:rPr>
          <w:b/>
          <w:bCs/>
        </w:rPr>
        <w:t xml:space="preserve">Benar:</w:t>
      </w:r>
      <w:r>
        <w:t xml:space="preserve"> </w:t>
      </w:r>
      <w:r>
        <w:t xml:space="preserve">“Tergugat IV gagal adaptasi karena tidak ada early warning system. Adaptasi adalah tindakan mengurangi dampak, sedangkan mitigasi adalah pengurangan emisi”</w:t>
      </w:r>
    </w:p>
    <w:p>
      <w:pPr>
        <w:pStyle w:val="BodyText"/>
      </w:pPr>
      <w:r>
        <w:rPr>
          <w:b/>
          <w:bCs/>
        </w:rPr>
        <w:t xml:space="preserve">b) Salah Memahami Standing</w:t>
      </w:r>
      <w:r>
        <w:t xml:space="preserve"> </w:t>
      </w:r>
      <w:r>
        <w:t xml:space="preserve">-</w:t>
      </w:r>
      <w:r>
        <w:t xml:space="preserve"> </w:t>
      </w:r>
      <w:r>
        <w:rPr>
          <w:b/>
          <w:bCs/>
        </w:rPr>
        <w:t xml:space="preserve">Salah:</w:t>
      </w:r>
      <w:r>
        <w:t xml:space="preserve"> </w:t>
      </w:r>
      <w:r>
        <w:t xml:space="preserve">“Penggugat 11-20 tidak punya standing karena tidak ada kerugian langsung, jadi gugatan harus ditolak”</w:t>
      </w:r>
      <w:r>
        <w:t xml:space="preserve"> </w:t>
      </w:r>
      <w:r>
        <w:t xml:space="preserve">-</w:t>
      </w:r>
      <w:r>
        <w:t xml:space="preserve"> </w:t>
      </w:r>
      <w:r>
        <w:rPr>
          <w:b/>
          <w:bCs/>
        </w:rPr>
        <w:t xml:space="preserve">Benar:</w:t>
      </w:r>
      <w:r>
        <w:t xml:space="preserve"> </w:t>
      </w:r>
      <w:r>
        <w:t xml:space="preserve">“Meskipun Penggugat 11-20 tidak mengalami kerugian langsung dari banjir Januari 2026, mereka memiliki standing berdasarkan intergenerational equity dan UU PPLH Pasal 91 yang memberikan standing luas kepada</w:t>
      </w:r>
      <w:r>
        <w:t xml:space="preserve"> </w:t>
      </w:r>
      <w:r>
        <w:t xml:space="preserve">‘masyarakat’</w:t>
      </w:r>
      <w:r>
        <w:t xml:space="preserve">”</w:t>
      </w:r>
    </w:p>
    <w:p>
      <w:pPr>
        <w:pStyle w:val="BodyText"/>
      </w:pPr>
      <w:r>
        <w:rPr>
          <w:b/>
          <w:bCs/>
        </w:rPr>
        <w:t xml:space="preserve">c) Menyamakan Advisory Opinion dengan Putusan yang Mengikat</w:t>
      </w:r>
      <w:r>
        <w:t xml:space="preserve"> </w:t>
      </w:r>
      <w:r>
        <w:t xml:space="preserve">-</w:t>
      </w:r>
      <w:r>
        <w:t xml:space="preserve"> </w:t>
      </w:r>
      <w:r>
        <w:rPr>
          <w:b/>
          <w:bCs/>
        </w:rPr>
        <w:t xml:space="preserve">Salah:</w:t>
      </w:r>
      <w:r>
        <w:t xml:space="preserve"> </w:t>
      </w:r>
      <w:r>
        <w:t xml:space="preserve">“ICJ Advisory Opinion 2025 mewajibkan Indonesia mengurangi emisi 50% pada 2030”</w:t>
      </w:r>
      <w:r>
        <w:t xml:space="preserve"> </w:t>
      </w:r>
      <w:r>
        <w:t xml:space="preserve">-</w:t>
      </w:r>
      <w:r>
        <w:t xml:space="preserve"> </w:t>
      </w:r>
      <w:r>
        <w:rPr>
          <w:b/>
          <w:bCs/>
        </w:rPr>
        <w:t xml:space="preserve">Benar:</w:t>
      </w:r>
      <w:r>
        <w:t xml:space="preserve"> </w:t>
      </w:r>
      <w:r>
        <w:t xml:space="preserve">“ICJ Advisory Opinion 2025 menegaskan bahwa negara memiliki kewajiban hukum untuk mencapai target 1,5°C, yang berdasarkan IPCC memerlukan pengurangan sekitar 45-50% pada 2030. Meskipun Advisory Opinion non-binding, ia memiliki persuasive authority tinggi”</w:t>
      </w:r>
    </w:p>
    <w:p>
      <w:pPr>
        <w:pStyle w:val="BodyText"/>
      </w:pPr>
      <w:r>
        <w:rPr>
          <w:b/>
          <w:bCs/>
        </w:rPr>
        <w:t xml:space="preserve">d) Mengira Kausalitas Harus 100%</w:t>
      </w:r>
      <w:r>
        <w:t xml:space="preserve"> </w:t>
      </w:r>
      <w:r>
        <w:t xml:space="preserve">-</w:t>
      </w:r>
      <w:r>
        <w:t xml:space="preserve"> </w:t>
      </w:r>
      <w:r>
        <w:rPr>
          <w:b/>
          <w:bCs/>
        </w:rPr>
        <w:t xml:space="preserve">Salah:</w:t>
      </w:r>
      <w:r>
        <w:t xml:space="preserve"> </w:t>
      </w:r>
      <w:r>
        <w:t xml:space="preserve">“Karena perubahan iklim hanya menyebabkan 30-40% peningkatan intensitas, maka tidak ada kausalitas hukum”</w:t>
      </w:r>
      <w:r>
        <w:t xml:space="preserve"> </w:t>
      </w:r>
      <w:r>
        <w:t xml:space="preserve">-</w:t>
      </w:r>
      <w:r>
        <w:t xml:space="preserve"> </w:t>
      </w:r>
      <w:r>
        <w:rPr>
          <w:b/>
          <w:bCs/>
        </w:rPr>
        <w:t xml:space="preserve">Benar:</w:t>
      </w:r>
      <w:r>
        <w:t xml:space="preserve"> </w:t>
      </w:r>
      <w:r>
        <w:t xml:space="preserve">“Dalam tort law, kausalitas tidak harus exclusive. Material contribution (30-40%) adalah cukup untuk menetapkan liability, apalagi dengan multiple defendants yang berkontribusi secara joint and several”</w:t>
      </w:r>
    </w:p>
    <w:p>
      <w:r>
        <w:pict>
          <v:rect style="width:0;height:1.5pt" o:hralign="center" o:hrstd="t" o:hr="t"/>
        </w:pict>
      </w:r>
    </w:p>
    <w:bookmarkEnd w:id="59"/>
    <w:bookmarkStart w:id="60" w:name="indikasi-plagiarisme-atau-ketidakjujuran"/>
    <w:p>
      <w:pPr>
        <w:pStyle w:val="Heading3"/>
      </w:pPr>
      <w:r>
        <w:t xml:space="preserve">2. Indikasi Plagiarisme atau Ketidakjujuran</w:t>
      </w:r>
    </w:p>
    <w:p>
      <w:pPr>
        <w:pStyle w:val="FirstParagraph"/>
      </w:pPr>
      <w:r>
        <w:rPr>
          <w:b/>
          <w:bCs/>
        </w:rPr>
        <w:t xml:space="preserve">Tanda-Tanda yang Harus Diwaspadai:</w:t>
      </w:r>
    </w:p>
    <w:p>
      <w:pPr>
        <w:pStyle w:val="BodyText"/>
      </w:pPr>
      <w:r>
        <w:rPr>
          <w:b/>
          <w:bCs/>
        </w:rPr>
        <w:t xml:space="preserve">a) Kutipan Tanpa Citasi</w:t>
      </w:r>
      <w:r>
        <w:t xml:space="preserve"> </w:t>
      </w:r>
      <w:r>
        <w:t xml:space="preserve">- Jika mahasiswa mengutip langsung dari Bagian A tanpa tanda kutip atau citasi</w:t>
      </w:r>
      <w:r>
        <w:t xml:space="preserve"> </w:t>
      </w:r>
      <w:r>
        <w:t xml:space="preserve">-</w:t>
      </w:r>
      <w:r>
        <w:t xml:space="preserve"> </w:t>
      </w:r>
      <w:r>
        <w:rPr>
          <w:b/>
          <w:bCs/>
        </w:rPr>
        <w:t xml:space="preserve">Contoh:</w:t>
      </w:r>
      <w:r>
        <w:t xml:space="preserve"> </w:t>
      </w:r>
      <w:r>
        <w:t xml:space="preserve">Mahasiswa menulis persis seperti teks Bagian A tanpa atribusi</w:t>
      </w:r>
      <w:r>
        <w:t xml:space="preserve"> </w:t>
      </w:r>
      <w:r>
        <w:t xml:space="preserve">-</w:t>
      </w:r>
      <w:r>
        <w:t xml:space="preserve"> </w:t>
      </w:r>
      <w:r>
        <w:rPr>
          <w:b/>
          <w:bCs/>
        </w:rPr>
        <w:t xml:space="preserve">Tindakan:</w:t>
      </w:r>
      <w:r>
        <w:t xml:space="preserve"> </w:t>
      </w:r>
      <w:r>
        <w:t xml:space="preserve">Beri peringatan dan kurangi nilai untuk</w:t>
      </w:r>
      <w:r>
        <w:t xml:space="preserve"> </w:t>
      </w:r>
      <w:r>
        <w:t xml:space="preserve">“penggunaan sumber”</w:t>
      </w:r>
    </w:p>
    <w:p>
      <w:pPr>
        <w:pStyle w:val="BodyText"/>
      </w:pPr>
      <w:r>
        <w:rPr>
          <w:b/>
          <w:bCs/>
        </w:rPr>
        <w:t xml:space="preserve">b) Sumber yang Tidak Ada dalam Materi</w:t>
      </w:r>
      <w:r>
        <w:t xml:space="preserve"> </w:t>
      </w:r>
      <w:r>
        <w:t xml:space="preserve">- Jika mahasiswa merujuk kasus atau undang-undang yang tidak ada dalam Bagian A atau materi kuliah</w:t>
      </w:r>
      <w:r>
        <w:t xml:space="preserve"> </w:t>
      </w:r>
      <w:r>
        <w:t xml:space="preserve">-</w:t>
      </w:r>
      <w:r>
        <w:t xml:space="preserve"> </w:t>
      </w:r>
      <w:r>
        <w:rPr>
          <w:b/>
          <w:bCs/>
        </w:rPr>
        <w:t xml:space="preserve">Contoh:</w:t>
      </w:r>
      <w:r>
        <w:t xml:space="preserve"> </w:t>
      </w:r>
      <w:r>
        <w:t xml:space="preserve">“Berdasarkan Climate Change Act 2008 UK…”</w:t>
      </w:r>
      <w:r>
        <w:t xml:space="preserve"> </w:t>
      </w:r>
      <w:r>
        <w:t xml:space="preserve">(tidak relevan dengan Indonesia)</w:t>
      </w:r>
      <w:r>
        <w:t xml:space="preserve"> </w:t>
      </w:r>
      <w:r>
        <w:t xml:space="preserve">-</w:t>
      </w:r>
      <w:r>
        <w:t xml:space="preserve"> </w:t>
      </w:r>
      <w:r>
        <w:rPr>
          <w:b/>
          <w:bCs/>
        </w:rPr>
        <w:t xml:space="preserve">Kemungkinan:</w:t>
      </w:r>
      <w:r>
        <w:t xml:space="preserve"> </w:t>
      </w:r>
      <w:r>
        <w:t xml:space="preserve">Akses internet selama ujian (pelanggaran)</w:t>
      </w:r>
      <w:r>
        <w:t xml:space="preserve"> </w:t>
      </w:r>
      <w:r>
        <w:t xml:space="preserve">-</w:t>
      </w:r>
      <w:r>
        <w:t xml:space="preserve"> </w:t>
      </w:r>
      <w:r>
        <w:rPr>
          <w:b/>
          <w:bCs/>
        </w:rPr>
        <w:t xml:space="preserve">Tindakan:</w:t>
      </w:r>
      <w:r>
        <w:t xml:space="preserve"> </w:t>
      </w:r>
      <w:r>
        <w:t xml:space="preserve">Tanyakan mahasiswa tentang sumber; jika tidak bisa dijelaskan, laporkan ke bagian akademik</w:t>
      </w:r>
    </w:p>
    <w:p>
      <w:pPr>
        <w:pStyle w:val="BodyText"/>
      </w:pPr>
      <w:r>
        <w:rPr>
          <w:b/>
          <w:bCs/>
        </w:rPr>
        <w:t xml:space="preserve">c) Gaya Penulisan yang Tidak Konsisten</w:t>
      </w:r>
      <w:r>
        <w:t xml:space="preserve"> </w:t>
      </w:r>
      <w:r>
        <w:t xml:space="preserve">- Bagian awal ujian ditulis dengan bahasa sederhana, tiba-tiba bagian tengah sangat sophisticated</w:t>
      </w:r>
      <w:r>
        <w:t xml:space="preserve"> </w:t>
      </w:r>
      <w:r>
        <w:t xml:space="preserve">-</w:t>
      </w:r>
      <w:r>
        <w:t xml:space="preserve"> </w:t>
      </w:r>
      <w:r>
        <w:rPr>
          <w:b/>
          <w:bCs/>
        </w:rPr>
        <w:t xml:space="preserve">Kemungkinan:</w:t>
      </w:r>
      <w:r>
        <w:t xml:space="preserve"> </w:t>
      </w:r>
      <w:r>
        <w:t xml:space="preserve">Menggunakan AI tools atau bantuan orang lain</w:t>
      </w:r>
      <w:r>
        <w:t xml:space="preserve"> </w:t>
      </w:r>
      <w:r>
        <w:t xml:space="preserve">-</w:t>
      </w:r>
      <w:r>
        <w:t xml:space="preserve"> </w:t>
      </w:r>
      <w:r>
        <w:rPr>
          <w:b/>
          <w:bCs/>
        </w:rPr>
        <w:t xml:space="preserve">Tindakan:</w:t>
      </w:r>
      <w:r>
        <w:t xml:space="preserve"> </w:t>
      </w:r>
      <w:r>
        <w:t xml:space="preserve">Wawancara mahasiswa tentang jawabannya; minta jelaskan argumen yang ditulis</w:t>
      </w:r>
    </w:p>
    <w:p>
      <w:pPr>
        <w:pStyle w:val="BodyText"/>
      </w:pPr>
      <w:r>
        <w:rPr>
          <w:b/>
          <w:bCs/>
        </w:rPr>
        <w:t xml:space="preserve">d) Jawaban yang Identik dengan Mahasiswa Lain</w:t>
      </w:r>
      <w:r>
        <w:t xml:space="preserve"> </w:t>
      </w:r>
      <w:r>
        <w:t xml:space="preserve">- Jika dua atau lebih mahasiswa memiliki jawaban yang sangat mirip (bukan hanya struktur, tapi kalimat persis sama)</w:t>
      </w:r>
      <w:r>
        <w:t xml:space="preserve"> </w:t>
      </w:r>
      <w:r>
        <w:t xml:space="preserve">-</w:t>
      </w:r>
      <w:r>
        <w:t xml:space="preserve"> </w:t>
      </w:r>
      <w:r>
        <w:rPr>
          <w:b/>
          <w:bCs/>
        </w:rPr>
        <w:t xml:space="preserve">Kemungkinan:</w:t>
      </w:r>
      <w:r>
        <w:t xml:space="preserve"> </w:t>
      </w:r>
      <w:r>
        <w:t xml:space="preserve">Kolusi selama ujian</w:t>
      </w:r>
      <w:r>
        <w:t xml:space="preserve"> </w:t>
      </w:r>
      <w:r>
        <w:t xml:space="preserve">-</w:t>
      </w:r>
      <w:r>
        <w:t xml:space="preserve"> </w:t>
      </w:r>
      <w:r>
        <w:rPr>
          <w:b/>
          <w:bCs/>
        </w:rPr>
        <w:t xml:space="preserve">Tindakan:</w:t>
      </w:r>
      <w:r>
        <w:t xml:space="preserve"> </w:t>
      </w:r>
      <w:r>
        <w:t xml:space="preserve">Wawancara terpisah; laporkan jika terbukti</w:t>
      </w:r>
    </w:p>
    <w:p>
      <w:r>
        <w:pict>
          <v:rect style="width:0;height:1.5pt" o:hralign="center" o:hrstd="t" o:hr="t"/>
        </w:pict>
      </w:r>
    </w:p>
    <w:bookmarkEnd w:id="60"/>
    <w:bookmarkStart w:id="61" w:name="X3e49e6b2d9858d89630fa482f7292719847220d"/>
    <w:p>
      <w:pPr>
        <w:pStyle w:val="Heading3"/>
      </w:pPr>
      <w:r>
        <w:t xml:space="preserve">3. Acceptable Answer Variations (Variasi Jawaban yang Sah)</w:t>
      </w:r>
    </w:p>
    <w:p>
      <w:pPr>
        <w:pStyle w:val="FirstParagraph"/>
      </w:pPr>
      <w:r>
        <w:rPr>
          <w:b/>
          <w:bCs/>
        </w:rPr>
        <w:t xml:space="preserve">Penting:</w:t>
      </w:r>
      <w:r>
        <w:t xml:space="preserve"> </w:t>
      </w:r>
      <w:r>
        <w:t xml:space="preserve">Tidak ada satu jawaban benar untuk banyak pertanyaan dalam ujian ini. Berikut adalah contoh variasi yang</w:t>
      </w:r>
      <w:r>
        <w:t xml:space="preserve"> </w:t>
      </w:r>
      <w:r>
        <w:rPr>
          <w:b/>
          <w:bCs/>
        </w:rPr>
        <w:t xml:space="preserve">semuanya acceptable</w:t>
      </w:r>
      <w:r>
        <w:t xml:space="preserve"> </w:t>
      </w:r>
      <w:r>
        <w:t xml:space="preserve">asalkan diargumentasikan dengan baik:</w:t>
      </w:r>
    </w:p>
    <w:p>
      <w:pPr>
        <w:pStyle w:val="BodyText"/>
      </w:pPr>
      <w:r>
        <w:rPr>
          <w:b/>
          <w:bCs/>
        </w:rPr>
        <w:t xml:space="preserve">a) Pemilihan Dasar Hukum (Pertanyaan 1a)</w:t>
      </w:r>
    </w:p>
    <w:p>
      <w:pPr>
        <w:pStyle w:val="BodyText"/>
      </w:pPr>
      <w:r>
        <w:rPr>
          <w:i/>
          <w:iCs/>
        </w:rPr>
        <w:t xml:space="preserve">Variasi 1:</w:t>
      </w:r>
      <w:r>
        <w:t xml:space="preserve"> </w:t>
      </w:r>
      <w:r>
        <w:t xml:space="preserve">UUD 28H + UU PPLH Pasal 91 + Paris Agreement</w:t>
      </w:r>
      <w:r>
        <w:t xml:space="preserve"> </w:t>
      </w:r>
      <w:r>
        <w:rPr>
          <w:i/>
          <w:iCs/>
        </w:rPr>
        <w:t xml:space="preserve">Variasi 2:</w:t>
      </w:r>
      <w:r>
        <w:t xml:space="preserve"> </w:t>
      </w:r>
      <w:r>
        <w:t xml:space="preserve">UUD 28H + Pasal 1365 KUH Perdata + UU 24/2007 Penanggulangan Bencana</w:t>
      </w:r>
      <w:r>
        <w:t xml:space="preserve"> </w:t>
      </w:r>
      <w:r>
        <w:rPr>
          <w:i/>
          <w:iCs/>
        </w:rPr>
        <w:t xml:space="preserve">Variasi 3:</w:t>
      </w:r>
      <w:r>
        <w:t xml:space="preserve"> </w:t>
      </w:r>
      <w:r>
        <w:t xml:space="preserve">UUD 33(4) + UU PPLH Pasal 91 + ICJ Advisory Opinion sebagai hukum kebiasaan</w:t>
      </w:r>
    </w:p>
    <w:p>
      <w:pPr>
        <w:pStyle w:val="BodyText"/>
      </w:pPr>
      <w:r>
        <w:rPr>
          <w:b/>
          <w:bCs/>
        </w:rPr>
        <w:t xml:space="preserve">Semua variasi di atas acceptable</w:t>
      </w:r>
      <w:r>
        <w:t xml:space="preserve"> </w:t>
      </w:r>
      <w:r>
        <w:t xml:space="preserve">asalkan:</w:t>
      </w:r>
      <w:r>
        <w:t xml:space="preserve"> </w:t>
      </w:r>
      <w:r>
        <w:t xml:space="preserve">- Analisis kekuatan dan kelemahan mendalam</w:t>
      </w:r>
      <w:r>
        <w:t xml:space="preserve"> </w:t>
      </w:r>
      <w:r>
        <w:t xml:space="preserve">- Preseden pendukung dijelaskan</w:t>
      </w:r>
      <w:r>
        <w:t xml:space="preserve"> </w:t>
      </w:r>
      <w:r>
        <w:t xml:space="preserve">- Aplikasi ke kasus Barito jelas</w:t>
      </w:r>
    </w:p>
    <w:p>
      <w:pPr>
        <w:pStyle w:val="BodyText"/>
      </w:pPr>
      <w:r>
        <w:rPr>
          <w:b/>
          <w:bCs/>
        </w:rPr>
        <w:t xml:space="preserve">b) Standing Penggugat Pemuda (Pertanyaan 1b)</w:t>
      </w:r>
    </w:p>
    <w:p>
      <w:pPr>
        <w:pStyle w:val="BodyText"/>
      </w:pPr>
      <w:r>
        <w:rPr>
          <w:i/>
          <w:iCs/>
        </w:rPr>
        <w:t xml:space="preserve">Pendekatan 1:</w:t>
      </w:r>
      <w:r>
        <w:t xml:space="preserve"> </w:t>
      </w:r>
      <w:r>
        <w:t xml:space="preserve">Fokus pada intergenerational equity + Neubauer</w:t>
      </w:r>
      <w:r>
        <w:t xml:space="preserve"> </w:t>
      </w:r>
      <w:r>
        <w:rPr>
          <w:i/>
          <w:iCs/>
        </w:rPr>
        <w:t xml:space="preserve">Pendekatan 2:</w:t>
      </w:r>
      <w:r>
        <w:t xml:space="preserve"> </w:t>
      </w:r>
      <w:r>
        <w:t xml:space="preserve">Fokus pada UU PPLH Pasal 91 (interpretasi luas</w:t>
      </w:r>
      <w:r>
        <w:t xml:space="preserve"> </w:t>
      </w:r>
      <w:r>
        <w:t xml:space="preserve">“masyarakat”</w:t>
      </w:r>
      <w:r>
        <w:t xml:space="preserve">) + public interest litigation</w:t>
      </w:r>
      <w:r>
        <w:t xml:space="preserve"> </w:t>
      </w:r>
      <w:r>
        <w:rPr>
          <w:i/>
          <w:iCs/>
        </w:rPr>
        <w:t xml:space="preserve">Pendekatan 3:</w:t>
      </w:r>
      <w:r>
        <w:t xml:space="preserve"> </w:t>
      </w:r>
      <w:r>
        <w:t xml:space="preserve">Fokus pada interpretasi temporal Pasal 28H UUD 1945</w:t>
      </w:r>
    </w:p>
    <w:p>
      <w:pPr>
        <w:pStyle w:val="BodyText"/>
      </w:pPr>
      <w:r>
        <w:rPr>
          <w:b/>
          <w:bCs/>
        </w:rPr>
        <w:t xml:space="preserve">Semua pendekatan acceptable</w:t>
      </w:r>
      <w:r>
        <w:t xml:space="preserve"> </w:t>
      </w:r>
      <w:r>
        <w:t xml:space="preserve">asalkan solid argumentasinya.</w:t>
      </w:r>
    </w:p>
    <w:p>
      <w:pPr>
        <w:pStyle w:val="BodyText"/>
      </w:pPr>
      <w:r>
        <w:rPr>
          <w:b/>
          <w:bCs/>
        </w:rPr>
        <w:t xml:space="preserve">c) Forum Selection (Pertanyaan 5a)</w:t>
      </w:r>
    </w:p>
    <w:p>
      <w:pPr>
        <w:pStyle w:val="BodyText"/>
      </w:pPr>
      <w:r>
        <w:rPr>
          <w:i/>
          <w:iCs/>
        </w:rPr>
        <w:t xml:space="preserve">Rekomendasi 1:</w:t>
      </w:r>
      <w:r>
        <w:t xml:space="preserve"> </w:t>
      </w:r>
      <w:r>
        <w:t xml:space="preserve">PN Jakarta Pusat (ikuti preseden Jakarta Air Pollution)</w:t>
      </w:r>
      <w:r>
        <w:t xml:space="preserve"> </w:t>
      </w:r>
      <w:r>
        <w:rPr>
          <w:i/>
          <w:iCs/>
        </w:rPr>
        <w:t xml:space="preserve">Rekomendasi 2:</w:t>
      </w:r>
      <w:r>
        <w:t xml:space="preserve"> </w:t>
      </w:r>
      <w:r>
        <w:t xml:space="preserve">PN Barito Tengah (yurisdiksi lokal, proximity ke korban)</w:t>
      </w:r>
      <w:r>
        <w:t xml:space="preserve"> </w:t>
      </w:r>
      <w:r>
        <w:rPr>
          <w:i/>
          <w:iCs/>
        </w:rPr>
        <w:t xml:space="preserve">Rekomendasi 3:</w:t>
      </w:r>
      <w:r>
        <w:t xml:space="preserve"> </w:t>
      </w:r>
      <w:r>
        <w:t xml:space="preserve">Kombinasi: PTUN untuk gugat izin PLTU + PN untuk gugat perdata</w:t>
      </w:r>
    </w:p>
    <w:p>
      <w:pPr>
        <w:pStyle w:val="BodyText"/>
      </w:pPr>
      <w:r>
        <w:rPr>
          <w:b/>
          <w:bCs/>
        </w:rPr>
        <w:t xml:space="preserve">Semua rekomendasi acceptable</w:t>
      </w:r>
      <w:r>
        <w:t xml:space="preserve"> </w:t>
      </w:r>
      <w:r>
        <w:t xml:space="preserve">asalkan:</w:t>
      </w:r>
      <w:r>
        <w:t xml:space="preserve"> </w:t>
      </w:r>
      <w:r>
        <w:t xml:space="preserve">- Analisis kelebihan/kekurangan setiap forum</w:t>
      </w:r>
      <w:r>
        <w:t xml:space="preserve"> </w:t>
      </w:r>
      <w:r>
        <w:t xml:space="preserve">- Justifikasi jelas mengapa forum tersebut dipilih</w:t>
      </w:r>
      <w:r>
        <w:t xml:space="preserve"> </w:t>
      </w:r>
      <w:r>
        <w:t xml:space="preserve">- Mempertimbangkan praktikalitas</w:t>
      </w:r>
    </w:p>
    <w:p>
      <w:r>
        <w:pict>
          <v:rect style="width:0;height:1.5pt" o:hralign="center" o:hrstd="t" o:hr="t"/>
        </w:pict>
      </w:r>
    </w:p>
    <w:bookmarkEnd w:id="61"/>
    <w:bookmarkEnd w:id="62"/>
    <w:bookmarkStart w:id="67" w:name="X66816e5bbdc603e58f60fd8d709529e2e6db541"/>
    <w:p>
      <w:pPr>
        <w:pStyle w:val="Heading2"/>
      </w:pPr>
      <w:r>
        <w:t xml:space="preserve">BAGIAN E: GRADING GUIDELINES (PANDUAN PRAKTIS PENILAIAN)</w:t>
      </w:r>
    </w:p>
    <w:bookmarkStart w:id="63" w:name="time-management-untuk-dosen"/>
    <w:p>
      <w:pPr>
        <w:pStyle w:val="Heading3"/>
      </w:pPr>
      <w:r>
        <w:t xml:space="preserve">1. Time Management untuk Dosen</w:t>
      </w:r>
    </w:p>
    <w:p>
      <w:pPr>
        <w:pStyle w:val="FirstParagraph"/>
      </w:pPr>
      <w:r>
        <w:rPr>
          <w:b/>
          <w:bCs/>
        </w:rPr>
        <w:t xml:space="preserve">Estimasi Waktu Grading per Mahasiswa:</w:t>
      </w:r>
      <w:r>
        <w:t xml:space="preserve"> </w:t>
      </w:r>
      <w:r>
        <w:t xml:space="preserve">-</w:t>
      </w:r>
      <w:r>
        <w:t xml:space="preserve"> </w:t>
      </w:r>
      <w:r>
        <w:rPr>
          <w:b/>
          <w:bCs/>
        </w:rPr>
        <w:t xml:space="preserve">Review cepat (skim):</w:t>
      </w:r>
      <w:r>
        <w:t xml:space="preserve"> </w:t>
      </w:r>
      <w:r>
        <w:t xml:space="preserve">5-7 menit</w:t>
      </w:r>
      <w:r>
        <w:t xml:space="preserve"> </w:t>
      </w:r>
      <w:r>
        <w:t xml:space="preserve">- Cek kelengkapan jawaban (apakah semua pertanyaan dijawab)</w:t>
      </w:r>
      <w:r>
        <w:t xml:space="preserve"> </w:t>
      </w:r>
      <w:r>
        <w:t xml:space="preserve">- Identifikasi struktur jawaban (apakah ada pendahuluan, analisis, kesimpulan)</w:t>
      </w:r>
      <w:r>
        <w:t xml:space="preserve"> </w:t>
      </w:r>
      <w:r>
        <w:t xml:space="preserve">- Deteksi red flags (plagiarisme, sumber tidak valid)</w:t>
      </w:r>
    </w:p>
    <w:p>
      <w:pPr>
        <w:pStyle w:val="Compact"/>
        <w:numPr>
          <w:ilvl w:val="0"/>
          <w:numId w:val="1017"/>
        </w:numPr>
      </w:pPr>
      <w:r>
        <w:rPr>
          <w:b/>
          <w:bCs/>
        </w:rPr>
        <w:t xml:space="preserve">Grading detail:</w:t>
      </w:r>
      <w:r>
        <w:t xml:space="preserve"> </w:t>
      </w:r>
      <w:r>
        <w:t xml:space="preserve">30-40 menit per mahasiswa</w:t>
      </w:r>
    </w:p>
    <w:p>
      <w:pPr>
        <w:pStyle w:val="Compact"/>
        <w:numPr>
          <w:ilvl w:val="1"/>
          <w:numId w:val="1018"/>
        </w:numPr>
      </w:pPr>
      <w:r>
        <w:t xml:space="preserve">Baca setiap jawaban dengan seksama</w:t>
      </w:r>
    </w:p>
    <w:p>
      <w:pPr>
        <w:pStyle w:val="Compact"/>
        <w:numPr>
          <w:ilvl w:val="1"/>
          <w:numId w:val="1018"/>
        </w:numPr>
      </w:pPr>
      <w:r>
        <w:t xml:space="preserve">Cek citasi dan penggunaan preseden</w:t>
      </w:r>
    </w:p>
    <w:p>
      <w:pPr>
        <w:pStyle w:val="Compact"/>
        <w:numPr>
          <w:ilvl w:val="1"/>
          <w:numId w:val="1018"/>
        </w:numPr>
      </w:pPr>
      <w:r>
        <w:t xml:space="preserve">Beri margin notes untuk feedback</w:t>
      </w:r>
    </w:p>
    <w:p>
      <w:pPr>
        <w:pStyle w:val="Compact"/>
        <w:numPr>
          <w:ilvl w:val="1"/>
          <w:numId w:val="1018"/>
        </w:numPr>
      </w:pPr>
      <w:r>
        <w:t xml:space="preserve">Hitung nilai per pertanyaan dan total</w:t>
      </w:r>
    </w:p>
    <w:p>
      <w:pPr>
        <w:pStyle w:val="FirstParagraph"/>
      </w:pPr>
      <w:r>
        <w:rPr>
          <w:b/>
          <w:bCs/>
        </w:rPr>
        <w:t xml:space="preserve">Total untuk 25 mahasiswa:</w:t>
      </w:r>
      <w:r>
        <w:t xml:space="preserve"> </w:t>
      </w:r>
      <w:r>
        <w:t xml:space="preserve">12-18 jam grading</w:t>
      </w:r>
    </w:p>
    <w:p>
      <w:pPr>
        <w:pStyle w:val="BodyText"/>
      </w:pPr>
      <w:r>
        <w:rPr>
          <w:b/>
          <w:bCs/>
        </w:rPr>
        <w:t xml:space="preserve">Tips Efisiensi:</w:t>
      </w:r>
      <w:r>
        <w:t xml:space="preserve"> </w:t>
      </w:r>
      <w:r>
        <w:t xml:space="preserve">- Gunakan rubrik scoring sheet (template Excel/Google Sheets) untuk input nilai cepat</w:t>
      </w:r>
      <w:r>
        <w:t xml:space="preserve"> </w:t>
      </w:r>
      <w:r>
        <w:t xml:space="preserve">- Buat bank of comments untuk feedback yang umum (misal:</w:t>
      </w:r>
      <w:r>
        <w:t xml:space="preserve"> </w:t>
      </w:r>
      <w:r>
        <w:t xml:space="preserve">“Analisis kekuatan/kelemahan dasar hukum kurang mendalam”</w:t>
      </w:r>
      <w:r>
        <w:t xml:space="preserve">)</w:t>
      </w:r>
      <w:r>
        <w:t xml:space="preserve"> </w:t>
      </w:r>
      <w:r>
        <w:t xml:space="preserve">- Grading per pertanyaan (misal: grade semua jawaban Pertanyaan 1 dulu, baru Pertanyaan 2, dst.) untuk konsistensi</w:t>
      </w:r>
    </w:p>
    <w:p>
      <w:r>
        <w:pict>
          <v:rect style="width:0;height:1.5pt" o:hralign="center" o:hrstd="t" o:hr="t"/>
        </w:pict>
      </w:r>
    </w:p>
    <w:bookmarkEnd w:id="63"/>
    <w:bookmarkStart w:id="64" w:name="scoring-sheet-template"/>
    <w:p>
      <w:pPr>
        <w:pStyle w:val="Heading3"/>
      </w:pPr>
      <w:r>
        <w:t xml:space="preserve">2. Scoring Sheet Template</w:t>
      </w:r>
    </w:p>
    <w:tbl>
      <w:tblPr>
        <w:tblStyle w:val="Table"/>
        <w:tblW w:type="pct" w:w="5000"/>
        <w:tblLayout w:type="fixed"/>
        <w:tblLook w:firstRow="1" w:lastRow="0" w:firstColumn="0" w:lastColumn="0" w:noHBand="0" w:noVBand="0" w:val="0020"/>
      </w:tblPr>
      <w:tblGrid>
        <w:gridCol w:w="473"/>
        <w:gridCol w:w="473"/>
        <w:gridCol w:w="430"/>
        <w:gridCol w:w="430"/>
        <w:gridCol w:w="430"/>
        <w:gridCol w:w="430"/>
        <w:gridCol w:w="430"/>
        <w:gridCol w:w="430"/>
        <w:gridCol w:w="430"/>
        <w:gridCol w:w="430"/>
        <w:gridCol w:w="430"/>
        <w:gridCol w:w="430"/>
        <w:gridCol w:w="430"/>
        <w:gridCol w:w="430"/>
        <w:gridCol w:w="430"/>
        <w:gridCol w:w="430"/>
        <w:gridCol w:w="473"/>
        <w:gridCol w:w="473"/>
      </w:tblGrid>
      <w:tr>
        <w:trPr>
          <w:tblHeader w:val="on"/>
        </w:trPr>
        <w:tc>
          <w:tcPr/>
          <w:p>
            <w:pPr>
              <w:pStyle w:val="Compact"/>
            </w:pPr>
            <w:r>
              <w:t xml:space="preserve">Mahasiswa</w:t>
            </w:r>
          </w:p>
        </w:tc>
        <w:tc>
          <w:tcPr/>
          <w:p>
            <w:pPr>
              <w:pStyle w:val="Compact"/>
            </w:pPr>
            <w:r>
              <w:t xml:space="preserve">P1a (10%)</w:t>
            </w:r>
          </w:p>
        </w:tc>
        <w:tc>
          <w:tcPr/>
          <w:p>
            <w:pPr>
              <w:pStyle w:val="Compact"/>
            </w:pPr>
            <w:r>
              <w:t xml:space="preserve">P1b (7%)</w:t>
            </w:r>
          </w:p>
        </w:tc>
        <w:tc>
          <w:tcPr/>
          <w:p>
            <w:pPr>
              <w:pStyle w:val="Compact"/>
            </w:pPr>
            <w:r>
              <w:t xml:space="preserve">P1c (8%)</w:t>
            </w:r>
          </w:p>
        </w:tc>
        <w:tc>
          <w:tcPr/>
          <w:p>
            <w:pPr>
              <w:pStyle w:val="Compact"/>
            </w:pPr>
            <w:r>
              <w:t xml:space="preserve">P2a (8%)</w:t>
            </w:r>
          </w:p>
        </w:tc>
        <w:tc>
          <w:tcPr/>
          <w:p>
            <w:pPr>
              <w:pStyle w:val="Compact"/>
            </w:pPr>
            <w:r>
              <w:t xml:space="preserve">P2b (7%)</w:t>
            </w:r>
          </w:p>
        </w:tc>
        <w:tc>
          <w:tcPr/>
          <w:p>
            <w:pPr>
              <w:pStyle w:val="Compact"/>
            </w:pPr>
            <w:r>
              <w:t xml:space="preserve">P2c (5%)</w:t>
            </w:r>
          </w:p>
        </w:tc>
        <w:tc>
          <w:tcPr/>
          <w:p>
            <w:pPr>
              <w:pStyle w:val="Compact"/>
            </w:pPr>
            <w:r>
              <w:t xml:space="preserve">P3a (8%)</w:t>
            </w:r>
          </w:p>
        </w:tc>
        <w:tc>
          <w:tcPr/>
          <w:p>
            <w:pPr>
              <w:pStyle w:val="Compact"/>
            </w:pPr>
            <w:r>
              <w:t xml:space="preserve">P3b (6%)</w:t>
            </w:r>
          </w:p>
        </w:tc>
        <w:tc>
          <w:tcPr/>
          <w:p>
            <w:pPr>
              <w:pStyle w:val="Compact"/>
            </w:pPr>
            <w:r>
              <w:t xml:space="preserve">P3c (6%)</w:t>
            </w:r>
          </w:p>
        </w:tc>
        <w:tc>
          <w:tcPr/>
          <w:p>
            <w:pPr>
              <w:pStyle w:val="Compact"/>
            </w:pPr>
            <w:r>
              <w:t xml:space="preserve">P4a (8%)</w:t>
            </w:r>
          </w:p>
        </w:tc>
        <w:tc>
          <w:tcPr/>
          <w:p>
            <w:pPr>
              <w:pStyle w:val="Compact"/>
            </w:pPr>
            <w:r>
              <w:t xml:space="preserve">P4b (7%)</w:t>
            </w:r>
          </w:p>
        </w:tc>
        <w:tc>
          <w:tcPr/>
          <w:p>
            <w:pPr>
              <w:pStyle w:val="Compact"/>
            </w:pPr>
            <w:r>
              <w:t xml:space="preserve">P4c (5%)</w:t>
            </w:r>
          </w:p>
        </w:tc>
        <w:tc>
          <w:tcPr/>
          <w:p>
            <w:pPr>
              <w:pStyle w:val="Compact"/>
            </w:pPr>
            <w:r>
              <w:t xml:space="preserve">P5a (5%)</w:t>
            </w:r>
          </w:p>
        </w:tc>
        <w:tc>
          <w:tcPr/>
          <w:p>
            <w:pPr>
              <w:pStyle w:val="Compact"/>
            </w:pPr>
            <w:r>
              <w:t xml:space="preserve">P5b (5%)</w:t>
            </w:r>
          </w:p>
        </w:tc>
        <w:tc>
          <w:tcPr/>
          <w:p>
            <w:pPr>
              <w:pStyle w:val="Compact"/>
            </w:pPr>
            <w:r>
              <w:t xml:space="preserve">P5c (5%)</w:t>
            </w:r>
          </w:p>
        </w:tc>
        <w:tc>
          <w:tcPr/>
          <w:p>
            <w:pPr>
              <w:pStyle w:val="Compact"/>
            </w:pPr>
            <w:r>
              <w:rPr>
                <w:b/>
                <w:bCs/>
              </w:rPr>
              <w:t xml:space="preserve">Total</w:t>
            </w:r>
          </w:p>
        </w:tc>
        <w:tc>
          <w:tcPr/>
          <w:p>
            <w:pPr>
              <w:pStyle w:val="Compact"/>
            </w:pPr>
            <w:r>
              <w:rPr>
                <w:b/>
                <w:bCs/>
              </w:rPr>
              <w:t xml:space="preserve">Grade</w:t>
            </w:r>
          </w:p>
        </w:tc>
      </w:tr>
      <w:tr>
        <w:tc>
          <w:tcPr/>
          <w:p>
            <w:pPr>
              <w:pStyle w:val="Compact"/>
            </w:pPr>
            <w:r>
              <w:t xml:space="preserve">Student A</w:t>
            </w:r>
          </w:p>
        </w:tc>
        <w:tc>
          <w:tcPr/>
          <w:p>
            <w:pPr>
              <w:pStyle w:val="Compact"/>
            </w:pPr>
            <w:r>
              <w:t xml:space="preserve">9</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4</w:t>
            </w:r>
          </w:p>
        </w:tc>
        <w:tc>
          <w:tcPr/>
          <w:p>
            <w:pPr>
              <w:pStyle w:val="Compact"/>
            </w:pPr>
            <w:r>
              <w:t xml:space="preserve">7</w:t>
            </w:r>
          </w:p>
        </w:tc>
        <w:tc>
          <w:tcPr/>
          <w:p>
            <w:pPr>
              <w:pStyle w:val="Compact"/>
            </w:pPr>
            <w:r>
              <w:t xml:space="preserve">5</w:t>
            </w:r>
          </w:p>
        </w:tc>
        <w:tc>
          <w:tcPr/>
          <w:p>
            <w:pPr>
              <w:pStyle w:val="Compact"/>
            </w:pPr>
            <w:r>
              <w:t xml:space="preserve">5</w:t>
            </w:r>
          </w:p>
        </w:tc>
        <w:tc>
          <w:tcPr/>
          <w:p>
            <w:pPr>
              <w:pStyle w:val="Compact"/>
            </w:pPr>
            <w:r>
              <w:t xml:space="preserve">7</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rPr>
                <w:b/>
                <w:bCs/>
              </w:rPr>
              <w:t xml:space="preserve">85</w:t>
            </w:r>
          </w:p>
        </w:tc>
        <w:tc>
          <w:tcPr/>
          <w:p>
            <w:pPr>
              <w:pStyle w:val="Compact"/>
            </w:pPr>
            <w:r>
              <w:rPr>
                <w:b/>
                <w:bCs/>
              </w:rPr>
              <w:t xml:space="preserve">A</w:t>
            </w:r>
          </w:p>
        </w:tc>
      </w:tr>
      <w:tr>
        <w:tc>
          <w:tcPr/>
          <w:p>
            <w:pPr>
              <w:pStyle w:val="Compact"/>
            </w:pPr>
            <w:r>
              <w:t xml:space="preserve">Student B</w:t>
            </w:r>
          </w:p>
        </w:tc>
        <w:tc>
          <w:tcPr/>
          <w:p>
            <w:pPr>
              <w:pStyle w:val="Compact"/>
            </w:pPr>
            <w:r>
              <w:t xml:space="preserve">7</w:t>
            </w:r>
          </w:p>
        </w:tc>
        <w:tc>
          <w:tcPr/>
          <w:p>
            <w:pPr>
              <w:pStyle w:val="Compact"/>
            </w:pPr>
            <w:r>
              <w:t xml:space="preserve">5</w:t>
            </w:r>
          </w:p>
        </w:tc>
        <w:tc>
          <w:tcPr/>
          <w:p>
            <w:pPr>
              <w:pStyle w:val="Compact"/>
            </w:pPr>
            <w:r>
              <w:t xml:space="preserve">6</w:t>
            </w:r>
          </w:p>
        </w:tc>
        <w:tc>
          <w:tcPr/>
          <w:p>
            <w:pPr>
              <w:pStyle w:val="Compact"/>
            </w:pPr>
            <w:r>
              <w:t xml:space="preserve">6</w:t>
            </w:r>
          </w:p>
        </w:tc>
        <w:tc>
          <w:tcPr/>
          <w:p>
            <w:pPr>
              <w:pStyle w:val="Compact"/>
            </w:pPr>
            <w:r>
              <w:t xml:space="preserve">5</w:t>
            </w:r>
          </w:p>
        </w:tc>
        <w:tc>
          <w:tcPr/>
          <w:p>
            <w:pPr>
              <w:pStyle w:val="Compact"/>
            </w:pPr>
            <w:r>
              <w:t xml:space="preserve">3</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rPr>
                <w:b/>
                <w:bCs/>
              </w:rPr>
              <w:t xml:space="preserve">69</w:t>
            </w:r>
          </w:p>
        </w:tc>
        <w:tc>
          <w:tcPr/>
          <w:p>
            <w:pPr>
              <w:pStyle w:val="Compact"/>
            </w:pPr>
            <w:r>
              <w:rPr>
                <w:b/>
                <w:bCs/>
              </w:rPr>
              <w:t xml:space="preserve">C</w:t>
            </w:r>
          </w:p>
        </w:tc>
      </w:tr>
    </w:tbl>
    <w:p>
      <w:r>
        <w:pict>
          <v:rect style="width:0;height:1.5pt" o:hralign="center" o:hrstd="t" o:hr="t"/>
        </w:pict>
      </w:r>
    </w:p>
    <w:bookmarkEnd w:id="64"/>
    <w:bookmarkStart w:id="65" w:name="handling-edge-cases"/>
    <w:p>
      <w:pPr>
        <w:pStyle w:val="Heading3"/>
      </w:pPr>
      <w:r>
        <w:t xml:space="preserve">3. Handling Edge Cases</w:t>
      </w:r>
    </w:p>
    <w:p>
      <w:pPr>
        <w:pStyle w:val="FirstParagraph"/>
      </w:pPr>
      <w:r>
        <w:rPr>
          <w:b/>
          <w:bCs/>
        </w:rPr>
        <w:t xml:space="preserve">Kasus 1: Mahasiswa Mengkritik Preseden atau Soal Ujian</w:t>
      </w:r>
    </w:p>
    <w:p>
      <w:pPr>
        <w:pStyle w:val="BodyText"/>
      </w:pPr>
      <w:r>
        <w:rPr>
          <w:i/>
          <w:iCs/>
        </w:rPr>
        <w:t xml:space="preserve">Skenario:</w:t>
      </w:r>
      <w:r>
        <w:t xml:space="preserve"> </w:t>
      </w:r>
      <w:r>
        <w:t xml:space="preserve">Mahasiswa menulis:</w:t>
      </w:r>
      <w:r>
        <w:t xml:space="preserve"> </w:t>
      </w:r>
      <w:r>
        <w:t xml:space="preserve">“Menurut saya, putusan banding Milieudefensie v. Shell salah karena [alasan X]. Pengadilan seharusnya…”</w:t>
      </w:r>
    </w:p>
    <w:p>
      <w:pPr>
        <w:pStyle w:val="BodyText"/>
      </w:pPr>
      <w:r>
        <w:rPr>
          <w:i/>
          <w:iCs/>
        </w:rPr>
        <w:t xml:space="preserve">Tindakan:</w:t>
      </w:r>
      <w:r>
        <w:t xml:space="preserve"> </w:t>
      </w:r>
      <w:r>
        <w:t xml:space="preserve">-</w:t>
      </w:r>
      <w:r>
        <w:t xml:space="preserve"> </w:t>
      </w:r>
      <w:r>
        <w:rPr>
          <w:b/>
          <w:bCs/>
        </w:rPr>
        <w:t xml:space="preserve">Jika kritik didukung argumentasi solid dengan referensi:</w:t>
      </w:r>
      <w:r>
        <w:t xml:space="preserve"> </w:t>
      </w:r>
      <w:r>
        <w:t xml:space="preserve">Beri nilai</w:t>
      </w:r>
      <w:r>
        <w:t xml:space="preserve"> </w:t>
      </w:r>
      <w:r>
        <w:rPr>
          <w:b/>
          <w:bCs/>
        </w:rPr>
        <w:t xml:space="preserve">tinggi</w:t>
      </w:r>
      <w:r>
        <w:t xml:space="preserve"> </w:t>
      </w:r>
      <w:r>
        <w:t xml:space="preserve">(ini menunjukkan critical thinking)</w:t>
      </w:r>
      <w:r>
        <w:t xml:space="preserve"> </w:t>
      </w:r>
      <w:r>
        <w:t xml:space="preserve">-</w:t>
      </w:r>
      <w:r>
        <w:t xml:space="preserve"> </w:t>
      </w:r>
      <w:r>
        <w:rPr>
          <w:b/>
          <w:bCs/>
        </w:rPr>
        <w:t xml:space="preserve">Jika kritik tanpa dasar atau spekulatif:</w:t>
      </w:r>
      <w:r>
        <w:t xml:space="preserve"> </w:t>
      </w:r>
      <w:r>
        <w:t xml:space="preserve">Beri nilai sedang dan feedback bahwa kritik perlu didukung bukti</w:t>
      </w:r>
      <w:r>
        <w:t xml:space="preserve"> </w:t>
      </w:r>
      <w:r>
        <w:t xml:space="preserve">-</w:t>
      </w:r>
      <w:r>
        <w:t xml:space="preserve"> </w:t>
      </w:r>
      <w:r>
        <w:rPr>
          <w:b/>
          <w:bCs/>
        </w:rPr>
        <w:t xml:space="preserve">Jangan menghukum mahasiswa karena memiliki pandangan berbeda dari dosen</w:t>
      </w:r>
      <w:r>
        <w:t xml:space="preserve">, asalkan argumentasinya rasional</w:t>
      </w:r>
    </w:p>
    <w:p>
      <w:pPr>
        <w:pStyle w:val="BodyText"/>
      </w:pPr>
      <w:r>
        <w:rPr>
          <w:b/>
          <w:bCs/>
        </w:rPr>
        <w:t xml:space="preserve">Kasus 2: Mahasiswa Tidak Sempat Menjawab Satu Pertanyaan</w:t>
      </w:r>
    </w:p>
    <w:p>
      <w:pPr>
        <w:pStyle w:val="BodyText"/>
      </w:pPr>
      <w:r>
        <w:rPr>
          <w:i/>
          <w:iCs/>
        </w:rPr>
        <w:t xml:space="preserve">Skenario:</w:t>
      </w:r>
      <w:r>
        <w:t xml:space="preserve"> </w:t>
      </w:r>
      <w:r>
        <w:t xml:space="preserve">Mahasiswa hanya menjawab 4 dari 5 pertanyaan karena kehabisan waktu</w:t>
      </w:r>
    </w:p>
    <w:p>
      <w:pPr>
        <w:pStyle w:val="BodyText"/>
      </w:pPr>
      <w:r>
        <w:rPr>
          <w:i/>
          <w:iCs/>
        </w:rPr>
        <w:t xml:space="preserve">Tindakan:</w:t>
      </w:r>
      <w:r>
        <w:t xml:space="preserve"> </w:t>
      </w:r>
      <w:r>
        <w:t xml:space="preserve">- Nilai pertanyaan yang tidak dijawab:</w:t>
      </w:r>
      <w:r>
        <w:t xml:space="preserve"> </w:t>
      </w:r>
      <w:r>
        <w:rPr>
          <w:b/>
          <w:bCs/>
        </w:rPr>
        <w:t xml:space="preserve">0</w:t>
      </w:r>
      <w:r>
        <w:t xml:space="preserve"> </w:t>
      </w:r>
      <w:r>
        <w:t xml:space="preserve">- Pertimbangkan memberikan</w:t>
      </w:r>
      <w:r>
        <w:t xml:space="preserve"> </w:t>
      </w:r>
      <w:r>
        <w:rPr>
          <w:b/>
          <w:bCs/>
        </w:rPr>
        <w:t xml:space="preserve">partial credit</w:t>
      </w:r>
      <w:r>
        <w:t xml:space="preserve"> </w:t>
      </w:r>
      <w:r>
        <w:t xml:space="preserve">jika ada outline atau poin-poin singkat</w:t>
      </w:r>
      <w:r>
        <w:t xml:space="preserve"> </w:t>
      </w:r>
      <w:r>
        <w:t xml:space="preserve">- Jika pola ini umum (banyak mahasiswa tidak sempat), evaluasi apakah soal terlalu panjang untuk waktu yang disediakan</w:t>
      </w:r>
    </w:p>
    <w:p>
      <w:pPr>
        <w:pStyle w:val="BodyText"/>
      </w:pPr>
      <w:r>
        <w:rPr>
          <w:b/>
          <w:bCs/>
        </w:rPr>
        <w:t xml:space="preserve">Kasus 3: Bahasa Indonesia Kurang Baik</w:t>
      </w:r>
    </w:p>
    <w:p>
      <w:pPr>
        <w:pStyle w:val="BodyText"/>
      </w:pPr>
      <w:r>
        <w:rPr>
          <w:i/>
          <w:iCs/>
        </w:rPr>
        <w:t xml:space="preserve">Skenario:</w:t>
      </w:r>
      <w:r>
        <w:t xml:space="preserve"> </w:t>
      </w:r>
      <w:r>
        <w:t xml:space="preserve">Mahasiswa memiliki analisis bagus tetapi bahasa Indonesia penuh kesalahan tata bahasa</w:t>
      </w:r>
    </w:p>
    <w:p>
      <w:pPr>
        <w:pStyle w:val="BodyText"/>
      </w:pPr>
      <w:r>
        <w:rPr>
          <w:i/>
          <w:iCs/>
        </w:rPr>
        <w:t xml:space="preserve">Tindakan:</w:t>
      </w:r>
      <w:r>
        <w:t xml:space="preserve"> </w:t>
      </w:r>
      <w:r>
        <w:t xml:space="preserve">-</w:t>
      </w:r>
      <w:r>
        <w:t xml:space="preserve"> </w:t>
      </w:r>
      <w:r>
        <w:rPr>
          <w:b/>
          <w:bCs/>
        </w:rPr>
        <w:t xml:space="preserve">Prioritas pada substansi hukum</w:t>
      </w:r>
      <w:r>
        <w:t xml:space="preserve">, bukan bahasa</w:t>
      </w:r>
      <w:r>
        <w:t xml:space="preserve"> </w:t>
      </w:r>
      <w:r>
        <w:t xml:space="preserve">- Kurangi nilai sedikit (misal: 2-3 poin dari total) jika bahasa sangat buruk sehingga mengganggu clarity</w:t>
      </w:r>
      <w:r>
        <w:t xml:space="preserve"> </w:t>
      </w:r>
      <w:r>
        <w:t xml:space="preserve">- Berikan feedback untuk perbaikan</w:t>
      </w:r>
    </w:p>
    <w:p>
      <w:pPr>
        <w:pStyle w:val="BodyText"/>
      </w:pPr>
      <w:r>
        <w:rPr>
          <w:b/>
          <w:bCs/>
        </w:rPr>
        <w:t xml:space="preserve">Kasus 4: Mahasiswa Menggunakan Preseden yang Tidak Ada dalam Soal</w:t>
      </w:r>
    </w:p>
    <w:p>
      <w:pPr>
        <w:pStyle w:val="BodyText"/>
      </w:pPr>
      <w:r>
        <w:rPr>
          <w:i/>
          <w:iCs/>
        </w:rPr>
        <w:t xml:space="preserve">Skenario:</w:t>
      </w:r>
      <w:r>
        <w:t xml:space="preserve"> </w:t>
      </w:r>
      <w:r>
        <w:t xml:space="preserve">Mahasiswa merujuk</w:t>
      </w:r>
      <w:r>
        <w:t xml:space="preserve"> </w:t>
      </w:r>
      <w:r>
        <w:t xml:space="preserve">“Sharma v. Australia (2021)”</w:t>
      </w:r>
      <w:r>
        <w:t xml:space="preserve"> </w:t>
      </w:r>
      <w:r>
        <w:t xml:space="preserve">yang tidak ada dalam Bagian A</w:t>
      </w:r>
    </w:p>
    <w:p>
      <w:pPr>
        <w:pStyle w:val="BodyText"/>
      </w:pPr>
      <w:r>
        <w:rPr>
          <w:i/>
          <w:iCs/>
        </w:rPr>
        <w:t xml:space="preserve">Tindakan:</w:t>
      </w:r>
      <w:r>
        <w:t xml:space="preserve"> </w:t>
      </w:r>
      <w:r>
        <w:t xml:space="preserve">-</w:t>
      </w:r>
      <w:r>
        <w:t xml:space="preserve"> </w:t>
      </w:r>
      <w:r>
        <w:rPr>
          <w:b/>
          <w:bCs/>
        </w:rPr>
        <w:t xml:space="preserve">Jika preseden valid dan relevan:</w:t>
      </w:r>
      <w:r>
        <w:t xml:space="preserve"> </w:t>
      </w:r>
      <w:r>
        <w:t xml:space="preserve">Beri nilai bonus (ini menunjukkan pengetahuan luas)</w:t>
      </w:r>
      <w:r>
        <w:t xml:space="preserve"> </w:t>
      </w:r>
      <w:r>
        <w:t xml:space="preserve">-</w:t>
      </w:r>
      <w:r>
        <w:t xml:space="preserve"> </w:t>
      </w:r>
      <w:r>
        <w:rPr>
          <w:b/>
          <w:bCs/>
        </w:rPr>
        <w:t xml:space="preserve">Jika preseden tidak valid atau tidak relevan:</w:t>
      </w:r>
      <w:r>
        <w:t xml:space="preserve"> </w:t>
      </w:r>
      <w:r>
        <w:t xml:space="preserve">Jangan kurangi nilai, tetapi beri feedback</w:t>
      </w:r>
      <w:r>
        <w:t xml:space="preserve"> </w:t>
      </w:r>
      <w:r>
        <w:t xml:space="preserve">-</w:t>
      </w:r>
      <w:r>
        <w:t xml:space="preserve"> </w:t>
      </w:r>
      <w:r>
        <w:rPr>
          <w:b/>
          <w:bCs/>
        </w:rPr>
        <w:t xml:space="preserve">Jika preseden sepertinya dibuat-buat:</w:t>
      </w:r>
      <w:r>
        <w:t xml:space="preserve"> </w:t>
      </w:r>
      <w:r>
        <w:t xml:space="preserve">Tanyakan sumber; jika tidak bisa dijelaskan, potong nilai untuk</w:t>
      </w:r>
      <w:r>
        <w:t xml:space="preserve"> </w:t>
      </w:r>
      <w:r>
        <w:t xml:space="preserve">“penggunaan sumber”</w:t>
      </w:r>
    </w:p>
    <w:p>
      <w:r>
        <w:pict>
          <v:rect style="width:0;height:1.5pt" o:hralign="center" o:hrstd="t" o:hr="t"/>
        </w:pict>
      </w:r>
    </w:p>
    <w:bookmarkEnd w:id="65"/>
    <w:bookmarkStart w:id="66" w:name="bonus-points-opsional"/>
    <w:p>
      <w:pPr>
        <w:pStyle w:val="Heading3"/>
      </w:pPr>
      <w:r>
        <w:t xml:space="preserve">4. Bonus Points (Opsional)</w:t>
      </w:r>
    </w:p>
    <w:p>
      <w:pPr>
        <w:pStyle w:val="FirstParagraph"/>
      </w:pPr>
      <w:r>
        <w:t xml:space="preserve">Dosen dapat memberikan</w:t>
      </w:r>
      <w:r>
        <w:t xml:space="preserve"> </w:t>
      </w:r>
      <w:r>
        <w:rPr>
          <w:b/>
          <w:bCs/>
        </w:rPr>
        <w:t xml:space="preserve">bonus hingga 5 poin</w:t>
      </w:r>
      <w:r>
        <w:t xml:space="preserve"> </w:t>
      </w:r>
      <w:r>
        <w:t xml:space="preserve">untuk:</w:t>
      </w:r>
      <w:r>
        <w:t xml:space="preserve"> </w:t>
      </w:r>
      <w:r>
        <w:t xml:space="preserve">-</w:t>
      </w:r>
      <w:r>
        <w:t xml:space="preserve"> </w:t>
      </w:r>
      <w:r>
        <w:rPr>
          <w:b/>
          <w:bCs/>
        </w:rPr>
        <w:t xml:space="preserve">Kreativitas argumentasi:</w:t>
      </w:r>
      <w:r>
        <w:t xml:space="preserve"> </w:t>
      </w:r>
      <w:r>
        <w:t xml:space="preserve">Mahasiswa menggunakan pendekatan inovatif yang tidak terpikirkan saat menyusun soal</w:t>
      </w:r>
      <w:r>
        <w:t xml:space="preserve"> </w:t>
      </w:r>
      <w:r>
        <w:t xml:space="preserve">-</w:t>
      </w:r>
      <w:r>
        <w:t xml:space="preserve"> </w:t>
      </w:r>
      <w:r>
        <w:rPr>
          <w:b/>
          <w:bCs/>
        </w:rPr>
        <w:t xml:space="preserve">Pengetahuan luas:</w:t>
      </w:r>
      <w:r>
        <w:t xml:space="preserve"> </w:t>
      </w:r>
      <w:r>
        <w:t xml:space="preserve">Mengintegrasikan materi dari berbagai BAB dengan sangat baik</w:t>
      </w:r>
      <w:r>
        <w:t xml:space="preserve"> </w:t>
      </w:r>
      <w:r>
        <w:t xml:space="preserve">-</w:t>
      </w:r>
      <w:r>
        <w:t xml:space="preserve"> </w:t>
      </w:r>
      <w:r>
        <w:rPr>
          <w:b/>
          <w:bCs/>
        </w:rPr>
        <w:t xml:space="preserve">Critical thinking:</w:t>
      </w:r>
      <w:r>
        <w:t xml:space="preserve"> </w:t>
      </w:r>
      <w:r>
        <w:t xml:space="preserve">Mengidentifikasi masalah atau nuansa yang tidak eksplisit dalam soal</w:t>
      </w:r>
      <w:r>
        <w:t xml:space="preserve"> </w:t>
      </w:r>
      <w:r>
        <w:t xml:space="preserve">-</w:t>
      </w:r>
      <w:r>
        <w:t xml:space="preserve"> </w:t>
      </w:r>
      <w:r>
        <w:rPr>
          <w:b/>
          <w:bCs/>
        </w:rPr>
        <w:t xml:space="preserve">Practical insight:</w:t>
      </w:r>
      <w:r>
        <w:t xml:space="preserve"> </w:t>
      </w:r>
      <w:r>
        <w:t xml:space="preserve">Memberikan saran strategis yang sangat realistis dan sophisticated</w:t>
      </w:r>
    </w:p>
    <w:p>
      <w:pPr>
        <w:pStyle w:val="BodyText"/>
      </w:pPr>
      <w:r>
        <w:rPr>
          <w:b/>
          <w:bCs/>
        </w:rPr>
        <w:t xml:space="preserve">Contoh:</w:t>
      </w:r>
      <w:r>
        <w:t xml:space="preserve"> </w:t>
      </w:r>
      <w:r>
        <w:t xml:space="preserve">&gt; Mahasiswa A tidak hanya menjawab pertanyaan, tetapi juga mengidentifikasi bahwa</w:t>
      </w:r>
      <w:r>
        <w:t xml:space="preserve"> </w:t>
      </w:r>
      <w:r>
        <w:t xml:space="preserve">“combining citizen lawsuit (Pasal 91) with TUN action against PLTU permit would be a two-pronged strategy that addresses both government failure and corporate wrongdoing simultaneously.”</w:t>
      </w:r>
      <w:r>
        <w:t xml:space="preserve"> </w:t>
      </w:r>
      <w:r>
        <w:t xml:space="preserve">Ini adalah insight praktis yang tidak ditanyakan tetapi sangat valuable →</w:t>
      </w:r>
      <w:r>
        <w:t xml:space="preserve"> </w:t>
      </w:r>
      <w:r>
        <w:rPr>
          <w:b/>
          <w:bCs/>
        </w:rPr>
        <w:t xml:space="preserve">+3 bonus points</w:t>
      </w:r>
    </w:p>
    <w:p>
      <w:r>
        <w:pict>
          <v:rect style="width:0;height:1.5pt" o:hralign="center" o:hrstd="t" o:hr="t"/>
        </w:pict>
      </w:r>
    </w:p>
    <w:bookmarkEnd w:id="66"/>
    <w:bookmarkEnd w:id="67"/>
    <w:bookmarkStart w:id="70" w:name="bagian-e-post-grading-reflection"/>
    <w:p>
      <w:pPr>
        <w:pStyle w:val="Heading2"/>
      </w:pPr>
      <w:r>
        <w:t xml:space="preserve">BAGIAN E: POST-GRADING REFLECTION</w:t>
      </w:r>
    </w:p>
    <w:bookmarkStart w:id="68" w:name="X95f496b958192457d1fdadaee03dbfd7af4519f"/>
    <w:p>
      <w:pPr>
        <w:pStyle w:val="Heading3"/>
      </w:pPr>
      <w:r>
        <w:t xml:space="preserve">1. Data yang Perlu Dikumpulkan Setelah Ujian</w:t>
      </w:r>
    </w:p>
    <w:p>
      <w:pPr>
        <w:pStyle w:val="FirstParagraph"/>
      </w:pPr>
      <w:r>
        <w:rPr>
          <w:b/>
          <w:bCs/>
        </w:rPr>
        <w:t xml:space="preserve">a) Statistik Nilai:</w:t>
      </w:r>
      <w:r>
        <w:t xml:space="preserve"> </w:t>
      </w:r>
      <w:r>
        <w:t xml:space="preserve">- Mean, median, standard deviation</w:t>
      </w:r>
      <w:r>
        <w:t xml:space="preserve"> </w:t>
      </w:r>
      <w:r>
        <w:t xml:space="preserve">- Distribusi nilai (berapa % mahasiswa dapat A, B, C, dst.)</w:t>
      </w:r>
      <w:r>
        <w:t xml:space="preserve"> </w:t>
      </w:r>
      <w:r>
        <w:t xml:space="preserve">- Pertanyaan mana yang paling sulit (rata-rata nilai terendah)</w:t>
      </w:r>
    </w:p>
    <w:p>
      <w:pPr>
        <w:pStyle w:val="BodyText"/>
      </w:pPr>
      <w:r>
        <w:rPr>
          <w:b/>
          <w:bCs/>
        </w:rPr>
        <w:t xml:space="preserve">b) Feedback Mahasiswa (Opsional Survey):</w:t>
      </w:r>
      <w:r>
        <w:t xml:space="preserve"> </w:t>
      </w:r>
      <w:r>
        <w:t xml:space="preserve">- Apakah waktu 180 menit cukup?</w:t>
      </w:r>
      <w:r>
        <w:t xml:space="preserve"> </w:t>
      </w:r>
      <w:r>
        <w:t xml:space="preserve">- Pertanyaan mana yang paling challenging?</w:t>
      </w:r>
      <w:r>
        <w:t xml:space="preserve"> </w:t>
      </w:r>
      <w:r>
        <w:t xml:space="preserve">- Apakah Bagian A (preseden) membantu?</w:t>
      </w:r>
      <w:r>
        <w:t xml:space="preserve"> </w:t>
      </w:r>
      <w:r>
        <w:t xml:space="preserve">- Saran untuk perbaikan ujian di masa depan</w:t>
      </w:r>
    </w:p>
    <w:p>
      <w:pPr>
        <w:pStyle w:val="BodyText"/>
      </w:pPr>
      <w:r>
        <w:rPr>
          <w:b/>
          <w:bCs/>
        </w:rPr>
        <w:t xml:space="preserve">c) Common Errors:</w:t>
      </w:r>
      <w:r>
        <w:t xml:space="preserve"> </w:t>
      </w:r>
      <w:r>
        <w:t xml:space="preserve">- Catat kesalahan konseptual yang paling sering muncul</w:t>
      </w:r>
      <w:r>
        <w:t xml:space="preserve"> </w:t>
      </w:r>
      <w:r>
        <w:t xml:space="preserve">- Topik mana yang perlu ditekankan lebih dalam pengajaran tahun depan</w:t>
      </w:r>
    </w:p>
    <w:p>
      <w:r>
        <w:pict>
          <v:rect style="width:0;height:1.5pt" o:hralign="center" o:hrstd="t" o:hr="t"/>
        </w:pict>
      </w:r>
    </w:p>
    <w:bookmarkEnd w:id="68"/>
    <w:bookmarkStart w:id="69" w:name="iterasi-untuk-ujian-tahun-depan"/>
    <w:p>
      <w:pPr>
        <w:pStyle w:val="Heading3"/>
      </w:pPr>
      <w:r>
        <w:t xml:space="preserve">2. Iterasi untuk Ujian Tahun Depan</w:t>
      </w:r>
    </w:p>
    <w:p>
      <w:pPr>
        <w:pStyle w:val="FirstParagraph"/>
      </w:pPr>
      <w:r>
        <w:rPr>
          <w:b/>
          <w:bCs/>
        </w:rPr>
        <w:t xml:space="preserve">Berdasarkan hasil ujian tahun ini, pertimbangkan:</w:t>
      </w:r>
    </w:p>
    <w:p>
      <w:pPr>
        <w:pStyle w:val="BodyText"/>
      </w:pPr>
      <w:r>
        <w:rPr>
          <w:b/>
          <w:bCs/>
        </w:rPr>
        <w:t xml:space="preserve">Jika banyak mahasiswa gagal Pertanyaan 2 (kausalitas):</w:t>
      </w:r>
      <w:r>
        <w:t xml:space="preserve"> </w:t>
      </w:r>
      <w:r>
        <w:t xml:space="preserve">- Tambahkan sesi khusus tentang attribution science di kelas</w:t>
      </w:r>
      <w:r>
        <w:t xml:space="preserve"> </w:t>
      </w:r>
      <w:r>
        <w:t xml:space="preserve">- Berikan reading tambahan tentang tort law causation</w:t>
      </w:r>
    </w:p>
    <w:p>
      <w:pPr>
        <w:pStyle w:val="BodyText"/>
      </w:pPr>
      <w:r>
        <w:rPr>
          <w:b/>
          <w:bCs/>
        </w:rPr>
        <w:t xml:space="preserve">Jika waktu tidak cukup:</w:t>
      </w:r>
      <w:r>
        <w:t xml:space="preserve"> </w:t>
      </w:r>
      <w:r>
        <w:t xml:space="preserve">- Kurangi panjang Bagian A (ringkasan preseden) atau berikan sebagai pre-reading</w:t>
      </w:r>
      <w:r>
        <w:t xml:space="preserve"> </w:t>
      </w:r>
      <w:r>
        <w:t xml:space="preserve">- Atau: perpanjang waktu ujian menjadi 210 menit</w:t>
      </w:r>
    </w:p>
    <w:p>
      <w:pPr>
        <w:pStyle w:val="BodyText"/>
      </w:pPr>
      <w:r>
        <w:rPr>
          <w:b/>
          <w:bCs/>
        </w:rPr>
        <w:t xml:space="preserve">Jika nilai terlalu rendah secara keseluruhan:</w:t>
      </w:r>
      <w:r>
        <w:t xml:space="preserve"> </w:t>
      </w:r>
      <w:r>
        <w:t xml:space="preserve">- Evaluasi apakah ekspektasi terlalu tinggi untuk level S2</w:t>
      </w:r>
      <w:r>
        <w:t xml:space="preserve"> </w:t>
      </w:r>
      <w:r>
        <w:t xml:space="preserve">- Pertimbangkan memberikan practice case study sebelum UAS</w:t>
      </w:r>
    </w:p>
    <w:p>
      <w:pPr>
        <w:pStyle w:val="BodyText"/>
      </w:pPr>
      <w:r>
        <w:rPr>
          <w:b/>
          <w:bCs/>
        </w:rPr>
        <w:t xml:space="preserve">Jika banyak plagiarisme/ketidakjujuran:</w:t>
      </w:r>
      <w:r>
        <w:t xml:space="preserve"> </w:t>
      </w:r>
      <w:r>
        <w:t xml:space="preserve">- Gunakan Turnitin atau software anti-plagiarisme</w:t>
      </w:r>
      <w:r>
        <w:t xml:space="preserve"> </w:t>
      </w:r>
      <w:r>
        <w:t xml:space="preserve">- Pertimbangkan ujian oral sebagai komplemen atau pengganti</w:t>
      </w:r>
    </w:p>
    <w:p>
      <w:r>
        <w:pict>
          <v:rect style="width:0;height:1.5pt" o:hralign="center" o:hrstd="t" o:hr="t"/>
        </w:pict>
      </w:r>
    </w:p>
    <w:bookmarkEnd w:id="69"/>
    <w:bookmarkEnd w:id="70"/>
    <w:bookmarkStart w:id="74" w:name="X88a6ae6c16c015debe1c1016072f08a4161fee0"/>
    <w:p>
      <w:pPr>
        <w:pStyle w:val="Heading2"/>
      </w:pPr>
      <w:r>
        <w:t xml:space="preserve">BAGIAN F: SAMPLE GRADING (Contoh Penilaian Konkret)</w:t>
      </w:r>
    </w:p>
    <w:bookmarkStart w:id="71" w:name="contoh-1-jawaban-level-a-85-95"/>
    <w:p>
      <w:pPr>
        <w:pStyle w:val="Heading3"/>
      </w:pPr>
      <w:r>
        <w:t xml:space="preserve">Contoh 1: Jawaban Level A (85-95)</w:t>
      </w:r>
    </w:p>
    <w:p>
      <w:pPr>
        <w:pStyle w:val="FirstParagraph"/>
      </w:pPr>
      <w:r>
        <w:rPr>
          <w:b/>
          <w:bCs/>
        </w:rPr>
        <w:t xml:space="preserve">Pertanyaan 1a: Mahasiswa A</w:t>
      </w:r>
    </w:p>
    <w:p>
      <w:pPr>
        <w:pStyle w:val="BlockText"/>
      </w:pPr>
      <w:r>
        <w:t xml:space="preserve">“Para penggugat memiliki tiga dasar hukum terkuat yang dapat digunakan secara kumulatif.</w:t>
      </w:r>
      <w:r>
        <w:t xml:space="preserve"> </w:t>
      </w:r>
      <w:r>
        <w:rPr>
          <w:b/>
          <w:bCs/>
        </w:rPr>
        <w:t xml:space="preserve">Pertama</w:t>
      </w:r>
      <w:r>
        <w:t xml:space="preserve">, UUD 1945 Pasal 28H ayat (1) yang menjamin hak atas lingkungan sehat. Pasal ini memiliki kekuatan hierarki tertinggi dan telah digunakan dengan sukses dalam Jakarta Air Pollution Case (374/Pdt.G/LH/2019). Pengadilan Negeri Jakarta Pusat menyatakan bahwa negara memiliki kewajiban positif untuk melindungi hak konstitusional ini. Dalam konteks Barito, kelalaian Tergugat I-IV dalam mitigasi dan adaptasi iklim secara langsung melanggar hak Pasal 28H karena banjir ekstrem yang diperberat perubahan iklim mengancam hak atas kehidupan (47 korban), kesehatan (320 luka), dan tempat tinggal (14.850 mengungsi). Kekuatan dasar hukum ini adalah status konstitusional dan preseden yang jelas. Kelemahannya adalah abstraksi tinggi — pengadilan harus menafsirkan bagaimana hak atas lingkungan sehat menimbulkan kewajiban spesifik terkait iklim. Namun, dengan mengutip ICJ Advisory Opinion 2025 yang menetapkan standar due diligence, interpretasi ini dapat diperkuat.</w:t>
      </w:r>
    </w:p>
    <w:p>
      <w:pPr>
        <w:pStyle w:val="BlockText"/>
      </w:pPr>
      <w:r>
        <w:rPr>
          <w:b/>
          <w:bCs/>
        </w:rPr>
        <w:t xml:space="preserve">Kedua</w:t>
      </w:r>
      <w:r>
        <w:t xml:space="preserve">, UU PPLH Pasal 91 tentang citizen lawsuit. Pasal ini secara eksplisit memberikan standing kepada masyarakat untuk menggugat pemerintah yang lalai dalam perlindungan lingkungan. Kelalaian yang dapat didalilkan meliputi: (1) tidak memperbarui RAD-GRK Kalsel sejak 2012, (2) tidak ada early warning system banjir, (3) terus mengizinkan ekspansi PLTU yang meningkatkan emisi. Kekuatan Pasal 91 adalah standing eksplisit dan fokus pada kelalaian substantif, bukan hanya keputusan administratif. Ini sudah terbukti dalam preseden Jakarta. Kelemahannya adalah Pasal 91 hanya berlaku untuk Tergugat I-IV (pemerintah), tidak untuk Tergugat V (PT BNE). Untuk korporasi, harus menggunakan Pasal 1365 KUH Perdata.</w:t>
      </w:r>
    </w:p>
    <w:p>
      <w:pPr>
        <w:pStyle w:val="BlockText"/>
      </w:pPr>
      <w:r>
        <w:rPr>
          <w:b/>
          <w:bCs/>
        </w:rPr>
        <w:t xml:space="preserve">Ketiga</w:t>
      </w:r>
      <w:r>
        <w:t xml:space="preserve">, Paris Agreement (UU 16/2016) yang diperkuat oleh ICJ Advisory Opinion 2025. Indonesia telah meratifikasi Paris Agreement, sehingga kewajiban Article 4.2 (pursue domestic mitigation) dan Article 7 (adaptation) mengikat secara hukum. ICJ Advisory Opinion memberikan interpretasi otoritatif bahwa target 1,5°C adalah legally binding dan adaptasi adalah kewajiban, bukan pilihan. Dengan Climate Action Tracker menunjukkan Indonesia off-track untuk NDC, ini adalah bukti kelalaian. Kekuatan pendekatan ini adalah standar internasional yang konkret dan momentum global litigasi iklim (Urgenda, Neubauer). Kelemahannya adalah Advisory Opinion non-binding dan mungkin dianggap non-self-executing. Namun, preseden Urgenda menunjukkan bahwa pengadilan dapat menegakkan kewajiban internasional tanpa UU pelaksana yang spesifik.”</w:t>
      </w:r>
    </w:p>
    <w:p>
      <w:pPr>
        <w:pStyle w:val="FirstParagraph"/>
      </w:pPr>
      <w:r>
        <w:rPr>
          <w:b/>
          <w:bCs/>
        </w:rPr>
        <w:t xml:space="preserve">Nilai:</w:t>
      </w:r>
      <w:r>
        <w:t xml:space="preserve"> </w:t>
      </w:r>
      <w:r>
        <w:t xml:space="preserve">9.5/10</w:t>
      </w:r>
      <w:r>
        <w:t xml:space="preserve"> </w:t>
      </w:r>
      <w:r>
        <w:rPr>
          <w:b/>
          <w:bCs/>
        </w:rPr>
        <w:t xml:space="preserve">Rationale:</w:t>
      </w:r>
      <w:r>
        <w:t xml:space="preserve"> </w:t>
      </w:r>
      <w:r>
        <w:t xml:space="preserve">- Identifikasi tiga dasar hukum yang sangat strategis ✓</w:t>
      </w:r>
      <w:r>
        <w:t xml:space="preserve"> </w:t>
      </w:r>
      <w:r>
        <w:t xml:space="preserve">- Analisis kekuatan/kelemahan mendalam dengan pertimbangan preseden ✓</w:t>
      </w:r>
      <w:r>
        <w:t xml:space="preserve"> </w:t>
      </w:r>
      <w:r>
        <w:t xml:space="preserve">- Aplikasi ke kasus Barito jelas dan konkret ✓</w:t>
      </w:r>
      <w:r>
        <w:t xml:space="preserve"> </w:t>
      </w:r>
      <w:r>
        <w:t xml:space="preserve">- Mengantisipasi counterargument (non-self-executing) dan membantahnya ✓</w:t>
      </w:r>
      <w:r>
        <w:t xml:space="preserve"> </w:t>
      </w:r>
      <w:r>
        <w:t xml:space="preserve">- Struktur jelas dan logis ✓</w:t>
      </w:r>
    </w:p>
    <w:p>
      <w:r>
        <w:pict>
          <v:rect style="width:0;height:1.5pt" o:hralign="center" o:hrstd="t" o:hr="t"/>
        </w:pict>
      </w:r>
    </w:p>
    <w:bookmarkEnd w:id="71"/>
    <w:bookmarkStart w:id="72" w:name="contoh-2-jawaban-level-b-70-84"/>
    <w:p>
      <w:pPr>
        <w:pStyle w:val="Heading3"/>
      </w:pPr>
      <w:r>
        <w:t xml:space="preserve">Contoh 2: Jawaban Level B (70-84)</w:t>
      </w:r>
    </w:p>
    <w:p>
      <w:pPr>
        <w:pStyle w:val="FirstParagraph"/>
      </w:pPr>
      <w:r>
        <w:rPr>
          <w:b/>
          <w:bCs/>
        </w:rPr>
        <w:t xml:space="preserve">Pertanyaan 1a: Mahasiswa B</w:t>
      </w:r>
    </w:p>
    <w:p>
      <w:pPr>
        <w:pStyle w:val="BlockText"/>
      </w:pPr>
      <w:r>
        <w:t xml:space="preserve">“Para penggugat bisa menggunakan beberapa dasar hukum. Yang pertama adalah UUD 1945 Pasal 28H tentang hak atas lingkungan sehat. Pasal ini penting karena merupakan hak konstitusional. Jakarta Air Pollution case juga pakai pasal ini dan menang. Jadi penggugat Barito bisa pakai argumen yang sama bahwa pemerintah lalai melindungi lingkungan.</w:t>
      </w:r>
    </w:p>
    <w:p>
      <w:pPr>
        <w:pStyle w:val="BlockText"/>
      </w:pPr>
      <w:r>
        <w:t xml:space="preserve">Kedua, bisa pakai UU PPLH Pasal 91 tentang citizen lawsuit. Pasal ini kasih hak kepada masyarakat untuk gugat pemerintah kalau pemerintah lalai. Dalam kasus Barito, pemerintah jelas lalai karena tidak ada sistem peringatan dini dan RAD-GRK tidak diperbaharui.</w:t>
      </w:r>
    </w:p>
    <w:p>
      <w:pPr>
        <w:pStyle w:val="BlockText"/>
      </w:pPr>
      <w:r>
        <w:t xml:space="preserve">Ketiga, Paris Agreement yang sudah diratifikasi Indonesia lewat UU 16/2016. Paris Agreement mewajibkan negara mengurangi emisi dan beradaptasi. Indonesia belum memenuhi target NDC, jadi ini pelanggaran kewajiban internasional. ICJ Advisory Opinion 2025 juga mendukung bahwa kewajiban ini mengikat secara hukum.”</w:t>
      </w:r>
    </w:p>
    <w:p>
      <w:pPr>
        <w:pStyle w:val="FirstParagraph"/>
      </w:pPr>
      <w:r>
        <w:rPr>
          <w:b/>
          <w:bCs/>
        </w:rPr>
        <w:t xml:space="preserve">Nilai:</w:t>
      </w:r>
      <w:r>
        <w:t xml:space="preserve"> </w:t>
      </w:r>
      <w:r>
        <w:t xml:space="preserve">7/10</w:t>
      </w:r>
      <w:r>
        <w:t xml:space="preserve"> </w:t>
      </w:r>
      <w:r>
        <w:rPr>
          <w:b/>
          <w:bCs/>
        </w:rPr>
        <w:t xml:space="preserve">Rationale:</w:t>
      </w:r>
      <w:r>
        <w:t xml:space="preserve"> </w:t>
      </w:r>
      <w:r>
        <w:t xml:space="preserve">- Identifikasi tiga dasar hukum yang tepat ✓</w:t>
      </w:r>
      <w:r>
        <w:t xml:space="preserve"> </w:t>
      </w:r>
      <w:r>
        <w:t xml:space="preserve">- Analisis kekuatan/kelemahan sangat minim (hanya menyebutkan, tidak mendalami) ✗</w:t>
      </w:r>
      <w:r>
        <w:t xml:space="preserve"> </w:t>
      </w:r>
      <w:r>
        <w:t xml:space="preserve">- Preseden disebutkan tapi tidak dianalisis ✗</w:t>
      </w:r>
      <w:r>
        <w:t xml:space="preserve"> </w:t>
      </w:r>
      <w:r>
        <w:t xml:space="preserve">- Aplikasi ke kasus Barito ada tetapi kurang detail ✗</w:t>
      </w:r>
      <w:r>
        <w:t xml:space="preserve"> </w:t>
      </w:r>
      <w:r>
        <w:t xml:space="preserve">- Tidak mengidentifikasi kelemahan atau counterargument ✗</w:t>
      </w:r>
      <w:r>
        <w:t xml:space="preserve"> </w:t>
      </w:r>
      <w:r>
        <w:t xml:space="preserve">- Bahasa informal (</w:t>
      </w:r>
      <w:r>
        <w:t xml:space="preserve">“kasih hak”</w:t>
      </w:r>
      <w:r>
        <w:t xml:space="preserve">,</w:t>
      </w:r>
      <w:r>
        <w:t xml:space="preserve"> </w:t>
      </w:r>
      <w:r>
        <w:t xml:space="preserve">“jelas lalai”</w:t>
      </w:r>
      <w:r>
        <w:t xml:space="preserve">) — kurang formal untuk ujian S2 ✗</w:t>
      </w:r>
    </w:p>
    <w:p>
      <w:pPr>
        <w:pStyle w:val="BodyText"/>
      </w:pPr>
      <w:r>
        <w:rPr>
          <w:b/>
          <w:bCs/>
        </w:rPr>
        <w:t xml:space="preserve">Feedback untuk Mahasiswa B:</w:t>
      </w:r>
      <w:r>
        <w:t xml:space="preserve"> </w:t>
      </w:r>
      <w:r>
        <w:t xml:space="preserve">“Anda berhasil mengidentifikasi tiga dasar hukum yang relevan, tetapi analisisnya masih perlu diperdalam. Untuk setiap dasar hukum, sebaiknya jelaskan: (1) bunyi pasal/kewajiban spesifik, (2) kekuatan (mengapa kuat), (3) kelemahan (apa yang mungkin diargumentasikan lawan), dan (4) bagaimana preseden mendukung. Perhatikan juga formalitas bahasa — gunakan bahasa Indonesia yang lebih akademis.”</w:t>
      </w:r>
    </w:p>
    <w:p>
      <w:r>
        <w:pict>
          <v:rect style="width:0;height:1.5pt" o:hralign="center" o:hrstd="t" o:hr="t"/>
        </w:pict>
      </w:r>
    </w:p>
    <w:bookmarkEnd w:id="72"/>
    <w:bookmarkStart w:id="73" w:name="contoh-3-jawaban-level-c-56-69"/>
    <w:p>
      <w:pPr>
        <w:pStyle w:val="Heading3"/>
      </w:pPr>
      <w:r>
        <w:t xml:space="preserve">Contoh 3: Jawaban Level C (56-69)</w:t>
      </w:r>
    </w:p>
    <w:p>
      <w:pPr>
        <w:pStyle w:val="FirstParagraph"/>
      </w:pPr>
      <w:r>
        <w:rPr>
          <w:b/>
          <w:bCs/>
        </w:rPr>
        <w:t xml:space="preserve">Pertanyaan 1a: Mahasiswa C</w:t>
      </w:r>
    </w:p>
    <w:p>
      <w:pPr>
        <w:pStyle w:val="BlockText"/>
      </w:pPr>
      <w:r>
        <w:t xml:space="preserve">“Penggugat bisa pakai UUD 1945 karena ada hak atas lingkungan. Juga bisa pakai UU lingkungan dan Paris Agreement karena Indonesia sudah ratifikasi. Pemerintah harus bertanggung jawab karena lalai sehingga terjadi banjir yang membunuh banyak orang.”</w:t>
      </w:r>
    </w:p>
    <w:p>
      <w:pPr>
        <w:pStyle w:val="FirstParagraph"/>
      </w:pPr>
      <w:r>
        <w:rPr>
          <w:b/>
          <w:bCs/>
        </w:rPr>
        <w:t xml:space="preserve">Nilai:</w:t>
      </w:r>
      <w:r>
        <w:t xml:space="preserve"> </w:t>
      </w:r>
      <w:r>
        <w:t xml:space="preserve">5.5/10</w:t>
      </w:r>
      <w:r>
        <w:t xml:space="preserve"> </w:t>
      </w:r>
      <w:r>
        <w:rPr>
          <w:b/>
          <w:bCs/>
        </w:rPr>
        <w:t xml:space="preserve">Rationale:</w:t>
      </w:r>
      <w:r>
        <w:t xml:space="preserve"> </w:t>
      </w:r>
      <w:r>
        <w:t xml:space="preserve">- Identifikasi dasar hukum sangat umum (tidak sebutkan pasal spesifik) ✗</w:t>
      </w:r>
      <w:r>
        <w:t xml:space="preserve"> </w:t>
      </w:r>
      <w:r>
        <w:t xml:space="preserve">- Tidak ada analisis kekuatan/kelemahan ✗</w:t>
      </w:r>
      <w:r>
        <w:t xml:space="preserve"> </w:t>
      </w:r>
      <w:r>
        <w:t xml:space="preserve">- Tidak merujuk preseden sama sekali ✗</w:t>
      </w:r>
      <w:r>
        <w:t xml:space="preserve"> </w:t>
      </w:r>
      <w:r>
        <w:t xml:space="preserve">- Aplikasi ke kasus sangat dangkal ✗</w:t>
      </w:r>
      <w:r>
        <w:t xml:space="preserve"> </w:t>
      </w:r>
      <w:r>
        <w:t xml:space="preserve">- Panjang jawaban terlalu singkat (tidak memenuhi ekspektasi analisis mendalam) ✗</w:t>
      </w:r>
    </w:p>
    <w:p>
      <w:pPr>
        <w:pStyle w:val="BodyText"/>
      </w:pPr>
      <w:r>
        <w:rPr>
          <w:b/>
          <w:bCs/>
        </w:rPr>
        <w:t xml:space="preserve">Feedback untuk Mahasiswa C:</w:t>
      </w:r>
      <w:r>
        <w:t xml:space="preserve"> </w:t>
      </w:r>
      <w:r>
        <w:t xml:space="preserve">“Jawaban Anda terlalu singkat dan umum. Untuk level S2, diharapkan analisis yang jauh lebih mendalam. Sebutkan pasal-pasal spesifik (misal: UUD 1945 Pasal 28H ayat 1, bukan hanya</w:t>
      </w:r>
      <w:r>
        <w:t xml:space="preserve"> </w:t>
      </w:r>
      <w:r>
        <w:t xml:space="preserve">‘UUD 1945’</w:t>
      </w:r>
      <w:r>
        <w:t xml:space="preserve">). Jelaskan bagaimana setiap dasar hukum berlaku dalam kasus Barito. Gunakan preseden dari Bagian A untuk mendukung argumen Anda. Panjang jawaban untuk sub-pertanyaan ini seharusnya 800-1000 kata, bukan 50 kata.”</w:t>
      </w:r>
    </w:p>
    <w:p>
      <w:r>
        <w:pict>
          <v:rect style="width:0;height:1.5pt" o:hralign="center" o:hrstd="t" o:hr="t"/>
        </w:pict>
      </w:r>
    </w:p>
    <w:bookmarkEnd w:id="73"/>
    <w:bookmarkEnd w:id="74"/>
    <w:bookmarkStart w:id="75" w:name="penutup-untuk-dosen"/>
    <w:p>
      <w:pPr>
        <w:pStyle w:val="Heading2"/>
      </w:pPr>
      <w:r>
        <w:t xml:space="preserve">PENUTUP UNTUK DOSEN</w:t>
      </w:r>
    </w:p>
    <w:p>
      <w:pPr>
        <w:pStyle w:val="FirstParagraph"/>
      </w:pPr>
      <w:r>
        <w:t xml:space="preserve">Kunci jawaban ini dirancang untuk memberikan</w:t>
      </w:r>
      <w:r>
        <w:t xml:space="preserve"> </w:t>
      </w:r>
      <w:r>
        <w:rPr>
          <w:b/>
          <w:bCs/>
        </w:rPr>
        <w:t xml:space="preserve">flexibility</w:t>
      </w:r>
      <w:r>
        <w:t xml:space="preserve"> </w:t>
      </w:r>
      <w:r>
        <w:t xml:space="preserve">dalam penilaian sambil mempertahankan</w:t>
      </w:r>
      <w:r>
        <w:t xml:space="preserve"> </w:t>
      </w:r>
      <w:r>
        <w:rPr>
          <w:b/>
          <w:bCs/>
        </w:rPr>
        <w:t xml:space="preserve">konsistensi</w:t>
      </w:r>
      <w:r>
        <w:t xml:space="preserve"> </w:t>
      </w:r>
      <w:r>
        <w:t xml:space="preserve">dan</w:t>
      </w:r>
      <w:r>
        <w:t xml:space="preserve"> </w:t>
      </w:r>
      <w:r>
        <w:rPr>
          <w:b/>
          <w:bCs/>
        </w:rPr>
        <w:t xml:space="preserve">fairness</w:t>
      </w:r>
      <w:r>
        <w:t xml:space="preserve">. Beberapa prinsip penting:</w:t>
      </w:r>
    </w:p>
    <w:p>
      <w:pPr>
        <w:numPr>
          <w:ilvl w:val="0"/>
          <w:numId w:val="1019"/>
        </w:numPr>
      </w:pPr>
      <w:r>
        <w:rPr>
          <w:b/>
          <w:bCs/>
        </w:rPr>
        <w:t xml:space="preserve">Tidak Ada Satu Jawaban Benar:</w:t>
      </w:r>
      <w:r>
        <w:t xml:space="preserve"> </w:t>
      </w:r>
      <w:r>
        <w:t xml:space="preserve">Untuk pertanyaan analitis seperti ini, yang dinilai adalah</w:t>
      </w:r>
      <w:r>
        <w:t xml:space="preserve"> </w:t>
      </w:r>
      <w:r>
        <w:rPr>
          <w:b/>
          <w:bCs/>
        </w:rPr>
        <w:t xml:space="preserve">kualitas reasoning</w:t>
      </w:r>
      <w:r>
        <w:t xml:space="preserve">, bukan apakah mahasiswa memilih opsi A atau B. Hargai diversity of approaches asalkan diargumentasikan dengan baik.</w:t>
      </w:r>
    </w:p>
    <w:p>
      <w:pPr>
        <w:numPr>
          <w:ilvl w:val="0"/>
          <w:numId w:val="1019"/>
        </w:numPr>
      </w:pPr>
      <w:r>
        <w:rPr>
          <w:b/>
          <w:bCs/>
        </w:rPr>
        <w:t xml:space="preserve">Substansi &gt; Bentuk:</w:t>
      </w:r>
      <w:r>
        <w:t xml:space="preserve"> </w:t>
      </w:r>
      <w:r>
        <w:t xml:space="preserve">Prioritaskan pemahaman konsep hukum dan kemampuan analitis di atas bahasa atau formatting. Mahasiswa dengan bahasa Indonesia kurang sempurna tetapi analisis tajam harus tetap dapat nilai tinggi.</w:t>
      </w:r>
    </w:p>
    <w:p>
      <w:pPr>
        <w:numPr>
          <w:ilvl w:val="0"/>
          <w:numId w:val="1019"/>
        </w:numPr>
      </w:pPr>
      <w:r>
        <w:rPr>
          <w:b/>
          <w:bCs/>
        </w:rPr>
        <w:t xml:space="preserve">Preseden sebagai Guidance, Bukan Dogma:</w:t>
      </w:r>
      <w:r>
        <w:t xml:space="preserve"> </w:t>
      </w:r>
      <w:r>
        <w:t xml:space="preserve">Mahasiswa yang mengkritik preseden secara konstruktif menunjukkan critical thinking yang tinggi. Jangan hukum mereka karena tidak setuju dengan Urgenda atau Neubauer, asalkan kritiknya berbasis argumen solid.</w:t>
      </w:r>
    </w:p>
    <w:p>
      <w:pPr>
        <w:numPr>
          <w:ilvl w:val="0"/>
          <w:numId w:val="1019"/>
        </w:numPr>
      </w:pPr>
      <w:r>
        <w:rPr>
          <w:b/>
          <w:bCs/>
        </w:rPr>
        <w:t xml:space="preserve">Feedback adalah Learning Tool:</w:t>
      </w:r>
      <w:r>
        <w:t xml:space="preserve"> </w:t>
      </w:r>
      <w:r>
        <w:t xml:space="preserve">Berikan feedback yang konstruktif dan spesifik, tidak hanya angka. Ini membantu mahasiswa belajar untuk ujian berikutnya atau praktik hukum di masa depan.</w:t>
      </w:r>
    </w:p>
    <w:p>
      <w:pPr>
        <w:numPr>
          <w:ilvl w:val="0"/>
          <w:numId w:val="1019"/>
        </w:numPr>
      </w:pPr>
      <w:r>
        <w:rPr>
          <w:b/>
          <w:bCs/>
        </w:rPr>
        <w:t xml:space="preserve">Evaluasi Berkelanjutan:</w:t>
      </w:r>
      <w:r>
        <w:t xml:space="preserve"> </w:t>
      </w:r>
      <w:r>
        <w:t xml:space="preserve">Gunakan data dari ujian ini untuk meningkatkan pengajaran dan assessment di tahun berikutnya.</w:t>
      </w:r>
    </w:p>
    <w:p>
      <w:pPr>
        <w:pStyle w:val="FirstParagraph"/>
      </w:pPr>
      <w:r>
        <w:rPr>
          <w:b/>
          <w:bCs/>
        </w:rPr>
        <w:t xml:space="preserve">Terima kasih atas dedikasi Anda dalam mendidik generasi baru ahli hukum iklim Indonesia. Semoga ujian ini dapat menghasilkan lulusan yang tidak hanya memahami hukum, tetapi juga mampu menggunakannya sebagai instrumen perubahan untuk melindungi generasi sekarang dan mendatang.</w:t>
      </w:r>
    </w:p>
    <w:p>
      <w:r>
        <w:pict>
          <v:rect style="width:0;height:1.5pt" o:hralign="center" o:hrstd="t" o:hr="t"/>
        </w:pict>
      </w:r>
    </w:p>
    <w:p>
      <w:pPr>
        <w:pStyle w:val="FirstParagraph"/>
      </w:pPr>
      <w:r>
        <w:rPr>
          <w:b/>
          <w:bCs/>
        </w:rPr>
        <w:t xml:space="preserve">Dokumen ini adalah CONFIDENTIAL dan hanya untuk penggunaan dosen. Tidak boleh dibagikan kepada mahasiswa sebelum ujian selesai.</w:t>
      </w:r>
    </w:p>
    <w:p>
      <w:r>
        <w:pict>
          <v:rect style="width:0;height:1.5pt" o:hralign="center" o:hrstd="t" o:hr="t"/>
        </w:pict>
      </w:r>
    </w:p>
    <w:p>
      <w:pPr>
        <w:pStyle w:val="FirstParagraph"/>
      </w:pPr>
      <w:r>
        <w:rPr>
          <w:b/>
          <w:bCs/>
        </w:rPr>
        <w:t xml:space="preserve">Halaman Akhir</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rlawfirm.com/ibukota-coalition-wins-air-pollution-lawsuit-in-jakarta-at-the-appeal-level/" TargetMode="External" /><Relationship Type="http://schemas.openxmlformats.org/officeDocument/2006/relationships/hyperlink" Id="rId31" Target="https://climatecasechart.com/non-us-case/milieudefensie-et-al-v-royal-dutch-shell-plc/" TargetMode="External" /><Relationship Type="http://schemas.openxmlformats.org/officeDocument/2006/relationships/hyperlink" Id="rId28" Target="https://clxtoolkit.com/casebook/neubauer-v-germany/" TargetMode="External" /><Relationship Type="http://schemas.openxmlformats.org/officeDocument/2006/relationships/hyperlink" Id="rId18" Target="https://elaw.org/indonesian-coal-plant-defeated" TargetMode="External" /><Relationship Type="http://schemas.openxmlformats.org/officeDocument/2006/relationships/hyperlink" Id="rId25" Target="https://elaw.org/resource/urgenda-foundation-v-the-state-of-the-netherlands" TargetMode="External" /><Relationship Type="http://schemas.openxmlformats.org/officeDocument/2006/relationships/hyperlink" Id="rId16" Target="https://en.tempo.co/read/2076502/swiss-court-affirms-indonesian-fishermens-right-to-sue-holcim" TargetMode="External" /><Relationship Type="http://schemas.openxmlformats.org/officeDocument/2006/relationships/hyperlink" Id="rId32" Target="https://en.wikipedia.org/wiki/Milieudefensie_v_Royal_Dutch_Shell" TargetMode="External" /><Relationship Type="http://schemas.openxmlformats.org/officeDocument/2006/relationships/hyperlink" Id="rId24" Target="https://en.wikipedia.org/wiki/Urgenda_Foundation_v_State_of_the_Netherlands" TargetMode="External" /><Relationship Type="http://schemas.openxmlformats.org/officeDocument/2006/relationships/hyperlink" Id="rId11" Target="https://icel.or.id/en/issues/pollution-control/jakarta-air-pollution-lawsuit-first-trial-held-today/" TargetMode="External" /><Relationship Type="http://schemas.openxmlformats.org/officeDocument/2006/relationships/hyperlink" Id="rId10" Target="https://lpr.adb.org/sites/default/files/resource/1193/ido-melanie-soebono-vs-the-president.pdf" TargetMode="External" /><Relationship Type="http://schemas.openxmlformats.org/officeDocument/2006/relationships/hyperlink" Id="rId27" Target="https://naturaljustice.org/wp-content/uploads/2022/03/Neubauer-et-al.-v.-Germany.pdf" TargetMode="External" /><Relationship Type="http://schemas.openxmlformats.org/officeDocument/2006/relationships/hyperlink" Id="rId20" Target="https://news.mongabay.com/2017/04/indonesian-court-revokes-environmental-license-for-the-cirebon-coal-plant-expansion/" TargetMode="External" /><Relationship Type="http://schemas.openxmlformats.org/officeDocument/2006/relationships/hyperlink" Id="rId19" Target="https://trendasia.org/indonesian-state-court-revoked-the-environmental-permit-of-a-coal-plant-citing-impacts-on-climate-change/" TargetMode="External" /><Relationship Type="http://schemas.openxmlformats.org/officeDocument/2006/relationships/hyperlink" Id="rId15" Target="https://www.aljazeera.com/news/2025/12/22/swiss-court-to-hear-indonesian-islanders-climate-case-against-cement-giant" TargetMode="External" /><Relationship Type="http://schemas.openxmlformats.org/officeDocument/2006/relationships/hyperlink" Id="rId37" Target="https://www.carbonbrief.org/icj-what-the-world-courts-landmark-opinion-means-for-climate-change/" TargetMode="External" /><Relationship Type="http://schemas.openxmlformats.org/officeDocument/2006/relationships/hyperlink" Id="rId14" Target="https://www.climateinthecourts.com/court-advances-pari-islanders-climate-case-against-holcim-in-switzerland/" TargetMode="External" /><Relationship Type="http://schemas.openxmlformats.org/officeDocument/2006/relationships/hyperlink" Id="rId33" Target="https://www.climateinthecourts.com/landmark-climate-case-against-shell-goes-to-dutch-supreme-court/" TargetMode="External" /><Relationship Type="http://schemas.openxmlformats.org/officeDocument/2006/relationships/hyperlink" Id="rId29" Target="https://www.ejiltalk.org/sustainable-development-made-justiciable-the-german-constitutional-courts-climate-ruling-on-intra-and-inter-generational-equity/" TargetMode="External" /><Relationship Type="http://schemas.openxmlformats.org/officeDocument/2006/relationships/hyperlink" Id="rId35" Target="https://www.icj-cij.org/case/187" TargetMode="External" /><Relationship Type="http://schemas.openxmlformats.org/officeDocument/2006/relationships/hyperlink" Id="rId36" Target="https://www.iisd.org/articles/deep-dive/icj-advisory-opinion-climate-change" TargetMode="External" /><Relationship Type="http://schemas.openxmlformats.org/officeDocument/2006/relationships/hyperlink" Id="rId23" Target="https://www.urgenda.nl/en/themas/climate-case/" TargetMode="External" /></Relationships>
</file>

<file path=word/_rels/footnotes.xml.rels><?xml version="1.0" encoding="UTF-8"?><Relationships xmlns="http://schemas.openxmlformats.org/package/2006/relationships"><Relationship Type="http://schemas.openxmlformats.org/officeDocument/2006/relationships/hyperlink" Id="rId12" Target="https://amarlawfirm.com/ibukota-coalition-wins-air-pollution-lawsuit-in-jakarta-at-the-appeal-level/" TargetMode="External" /><Relationship Type="http://schemas.openxmlformats.org/officeDocument/2006/relationships/hyperlink" Id="rId31" Target="https://climatecasechart.com/non-us-case/milieudefensie-et-al-v-royal-dutch-shell-plc/" TargetMode="External" /><Relationship Type="http://schemas.openxmlformats.org/officeDocument/2006/relationships/hyperlink" Id="rId28" Target="https://clxtoolkit.com/casebook/neubauer-v-germany/" TargetMode="External" /><Relationship Type="http://schemas.openxmlformats.org/officeDocument/2006/relationships/hyperlink" Id="rId18" Target="https://elaw.org/indonesian-coal-plant-defeated" TargetMode="External" /><Relationship Type="http://schemas.openxmlformats.org/officeDocument/2006/relationships/hyperlink" Id="rId25" Target="https://elaw.org/resource/urgenda-foundation-v-the-state-of-the-netherlands" TargetMode="External" /><Relationship Type="http://schemas.openxmlformats.org/officeDocument/2006/relationships/hyperlink" Id="rId16" Target="https://en.tempo.co/read/2076502/swiss-court-affirms-indonesian-fishermens-right-to-sue-holcim" TargetMode="External" /><Relationship Type="http://schemas.openxmlformats.org/officeDocument/2006/relationships/hyperlink" Id="rId32" Target="https://en.wikipedia.org/wiki/Milieudefensie_v_Royal_Dutch_Shell" TargetMode="External" /><Relationship Type="http://schemas.openxmlformats.org/officeDocument/2006/relationships/hyperlink" Id="rId24" Target="https://en.wikipedia.org/wiki/Urgenda_Foundation_v_State_of_the_Netherlands" TargetMode="External" /><Relationship Type="http://schemas.openxmlformats.org/officeDocument/2006/relationships/hyperlink" Id="rId11" Target="https://icel.or.id/en/issues/pollution-control/jakarta-air-pollution-lawsuit-first-trial-held-today/" TargetMode="External" /><Relationship Type="http://schemas.openxmlformats.org/officeDocument/2006/relationships/hyperlink" Id="rId10" Target="https://lpr.adb.org/sites/default/files/resource/1193/ido-melanie-soebono-vs-the-president.pdf" TargetMode="External" /><Relationship Type="http://schemas.openxmlformats.org/officeDocument/2006/relationships/hyperlink" Id="rId27" Target="https://naturaljustice.org/wp-content/uploads/2022/03/Neubauer-et-al.-v.-Germany.pdf" TargetMode="External" /><Relationship Type="http://schemas.openxmlformats.org/officeDocument/2006/relationships/hyperlink" Id="rId20" Target="https://news.mongabay.com/2017/04/indonesian-court-revokes-environmental-license-for-the-cirebon-coal-plant-expansion/" TargetMode="External" /><Relationship Type="http://schemas.openxmlformats.org/officeDocument/2006/relationships/hyperlink" Id="rId19" Target="https://trendasia.org/indonesian-state-court-revoked-the-environmental-permit-of-a-coal-plant-citing-impacts-on-climate-change/" TargetMode="External" /><Relationship Type="http://schemas.openxmlformats.org/officeDocument/2006/relationships/hyperlink" Id="rId15" Target="https://www.aljazeera.com/news/2025/12/22/swiss-court-to-hear-indonesian-islanders-climate-case-against-cement-giant" TargetMode="External" /><Relationship Type="http://schemas.openxmlformats.org/officeDocument/2006/relationships/hyperlink" Id="rId37" Target="https://www.carbonbrief.org/icj-what-the-world-courts-landmark-opinion-means-for-climate-change/" TargetMode="External" /><Relationship Type="http://schemas.openxmlformats.org/officeDocument/2006/relationships/hyperlink" Id="rId14" Target="https://www.climateinthecourts.com/court-advances-pari-islanders-climate-case-against-holcim-in-switzerland/" TargetMode="External" /><Relationship Type="http://schemas.openxmlformats.org/officeDocument/2006/relationships/hyperlink" Id="rId33" Target="https://www.climateinthecourts.com/landmark-climate-case-against-shell-goes-to-dutch-supreme-court/" TargetMode="External" /><Relationship Type="http://schemas.openxmlformats.org/officeDocument/2006/relationships/hyperlink" Id="rId29" Target="https://www.ejiltalk.org/sustainable-development-made-justiciable-the-german-constitutional-courts-climate-ruling-on-intra-and-inter-generational-equity/" TargetMode="External" /><Relationship Type="http://schemas.openxmlformats.org/officeDocument/2006/relationships/hyperlink" Id="rId35" Target="https://www.icj-cij.org/case/187" TargetMode="External" /><Relationship Type="http://schemas.openxmlformats.org/officeDocument/2006/relationships/hyperlink" Id="rId36" Target="https://www.iisd.org/articles/deep-dive/icj-advisory-opinion-climate-change" TargetMode="External" /><Relationship Type="http://schemas.openxmlformats.org/officeDocument/2006/relationships/hyperlink" Id="rId23" Target="https://www.urgenda.nl/en/themas/climate-c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UAS Kunci Jawaban dan Rubrik Penilaian</dc:title>
  <dc:creator/>
  <cp:keywords/>
  <dcterms:created xsi:type="dcterms:W3CDTF">2026-02-12T12:49:15Z</dcterms:created>
  <dcterms:modified xsi:type="dcterms:W3CDTF">2026-02-12T12:49:15Z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2026-02-12</vt:lpwstr>
  </property>
  <property fmtid="{D5CDD505-2E9C-101B-9397-08002B2CF9AE}" pid="3" name="publish">
    <vt:lpwstr>False</vt:lpwstr>
  </property>
  <property fmtid="{D5CDD505-2E9C-101B-9397-08002B2CF9AE}" pid="4" name="tags">
    <vt:lpwstr/>
  </property>
</Properties>
</file>