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9" w:rsidRPr="00AE1199" w:rsidRDefault="00822BC5" w:rsidP="004A5869">
      <w:pPr>
        <w:pStyle w:val="Heading3"/>
      </w:pPr>
      <w:bookmarkStart w:id="0" w:name="_GoBack"/>
      <w:bookmarkEnd w:id="0"/>
      <w:proofErr w:type="spellStart"/>
      <w:r w:rsidRPr="00AE1199">
        <w:t>Fwk</w:t>
      </w:r>
      <w:r w:rsidR="00864A81">
        <w:t>.Configuration</w:t>
      </w:r>
      <w:proofErr w:type="spellEnd"/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BookTitle"/>
        </w:rPr>
      </w:pPr>
      <w:r w:rsidRPr="00556AFA">
        <w:rPr>
          <w:rStyle w:val="BookTitle"/>
        </w:rPr>
        <w:t>Bloque</w:t>
      </w:r>
      <w:r w:rsidR="004A5869" w:rsidRPr="00556AFA">
        <w:rPr>
          <w:rStyle w:val="BookTitle"/>
        </w:rPr>
        <w:t xml:space="preserve"> de </w:t>
      </w:r>
      <w:r w:rsidR="00D45441" w:rsidRPr="00556AFA">
        <w:rPr>
          <w:rStyle w:val="BookTitle"/>
        </w:rPr>
        <w:t>Configuración</w:t>
      </w: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proofErr w:type="spellStart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</w:t>
      </w:r>
      <w:proofErr w:type="spellEnd"/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</w:t>
      </w:r>
      <w:proofErr w:type="spellStart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work</w:t>
      </w:r>
      <w:proofErr w:type="spellEnd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 estructura de una configuración vista como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xml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7E6724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93.1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ED6A96" w:rsidRDefault="00ED6A96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D6A96" w:rsidRPr="00C342DB" w:rsidRDefault="00ED6A96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</w:t>
      </w:r>
      <w:proofErr w:type="spellStart"/>
      <w:r w:rsidRPr="00D222CC">
        <w:rPr>
          <w:rFonts w:ascii="Arial" w:hAnsi="Arial" w:cs="Arial"/>
          <w:i/>
          <w:iCs/>
          <w:sz w:val="20"/>
          <w:szCs w:val="20"/>
        </w:rPr>
        <w:t>FuntionalsExceptions</w:t>
      </w:r>
      <w:proofErr w:type="spellEnd"/>
      <w:r w:rsidRPr="00D222CC">
        <w:rPr>
          <w:rFonts w:ascii="Arial" w:hAnsi="Arial" w:cs="Arial"/>
          <w:i/>
          <w:iCs/>
          <w:sz w:val="20"/>
          <w:szCs w:val="20"/>
        </w:rPr>
        <w:t>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proofErr w:type="spellStart"/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  <w:proofErr w:type="spellEnd"/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lastRenderedPageBreak/>
        <w:t xml:space="preserve">Los distintos grupos que conforman una archivo de configuración como vimos están formados por uno o </w:t>
      </w:r>
      <w:proofErr w:type="spellStart"/>
      <w:proofErr w:type="gram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mas</w:t>
      </w:r>
      <w:proofErr w:type="spellEnd"/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Keys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name</w:t>
      </w:r>
      <w:proofErr w:type="spellEnd"/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</w:t>
      </w:r>
      <w:proofErr w:type="spell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Keys</w:t>
      </w:r>
      <w:proofErr w:type="spell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Value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proofErr w:type="gramStart"/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Estos son los consumidores del servicio de configuración. Los clientes se utilizan </w:t>
      </w:r>
      <w:proofErr w:type="spellStart"/>
      <w:r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Mannager</w:t>
      </w:r>
      <w:proofErr w:type="spellEnd"/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para tal propósito este servicio de Windows puede ser Local o Remoto depende del </w:t>
      </w:r>
      <w:r w:rsidR="00FC796C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diseño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arquitectura de la solución que se establezca.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Las distintas aplicaciones pueden ser alguno de los siguientes: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BA703A" w:rsidRPr="00C921B9" w:rsidRDefault="00BA703A" w:rsidP="00951C6D">
      <w:pPr>
        <w:rPr>
          <w:rFonts w:ascii="Courier New" w:hAnsi="Courier New" w:cs="Courier New"/>
          <w:bCs/>
          <w:sz w:val="20"/>
          <w:lang w:val="es-MX"/>
        </w:rPr>
      </w:pPr>
    </w:p>
    <w:p w:rsidR="00471A27" w:rsidRPr="00D16D71" w:rsidRDefault="00D16D71" w:rsidP="00D16D71">
      <w:pPr>
        <w:pStyle w:val="BodyText"/>
        <w:spacing w:after="120" w:line="240" w:lineRule="atLeast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La ubicación de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bloque de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configuración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es en </w:t>
      </w:r>
      <w:proofErr w:type="spellStart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Fwk.configuration</w:t>
      </w:r>
      <w:proofErr w:type="spellEnd"/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 componente más importante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es el </w:t>
      </w:r>
      <w:proofErr w:type="spellStart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ConfigurationManager</w:t>
      </w:r>
      <w:proofErr w:type="spellEnd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Este es el </w:t>
      </w:r>
      <w:r w:rsidR="00471A27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C42D05" w:rsidRPr="004B6227" w:rsidRDefault="00C42D05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D16D71" w:rsidRDefault="00D16D71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9D48C1" w:rsidRDefault="009D48C1" w:rsidP="00E4050A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33909" w:rsidRDefault="00EE530F" w:rsidP="00610788">
      <w:pPr>
        <w:pStyle w:val="BodyText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proofErr w:type="spellEnd"/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proofErr w:type="spellStart"/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Obtiene un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ConfigurationFile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con la estructura vista en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Codigo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CD241B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744DA" w:rsidRDefault="00CD241B" w:rsidP="007852F0">
            <w:pPr>
              <w:pStyle w:val="Default"/>
              <w:spacing w:after="120"/>
              <w:jc w:val="both"/>
              <w:rPr>
                <w:sz w:val="18"/>
                <w:szCs w:val="18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GetFileVersionStatus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1547D" w:rsidRDefault="00CD241B" w:rsidP="00D1547D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</w:t>
            </w:r>
            <w:proofErr w:type="spellStart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catalogo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lastRenderedPageBreak/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lastRenderedPageBreak/>
              <w:t>GetGroup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Este valor es que utiliza el </w:t>
            </w:r>
            <w:proofErr w:type="spellStart"/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</w:t>
            </w:r>
            <w:proofErr w:type="spellEnd"/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 archivo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xml</w:t>
            </w:r>
            <w:proofErr w:type="spellEnd"/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una tabla 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sql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cuya estructura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esta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dado por los script de instalación de bases de datos del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</w:p>
          <w:p w:rsidR="00FA28FE" w:rsidRPr="00FF56D3" w:rsidRDefault="00FA28FE" w:rsidP="001E69E8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57353F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353F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 xml:space="preserve">ignore </w:t>
            </w:r>
            <w:proofErr w:type="spellStart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sourceinfo</w:t>
            </w:r>
            <w:proofErr w:type="spellEnd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”</w:t>
            </w:r>
          </w:p>
          <w:p w:rsidR="00FA28FE" w:rsidRPr="00FF56D3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“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configuracion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configuracion</w:t>
            </w:r>
            <w:proofErr w:type="spellEnd"/>
          </w:p>
        </w:tc>
      </w:tr>
    </w:tbl>
    <w:p w:rsidR="00BF3094" w:rsidRDefault="00BF3094" w:rsidP="00BF3094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BodyText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lastRenderedPageBreak/>
        <w:t xml:space="preserve">Almacén según el tipo de </w:t>
      </w:r>
      <w:proofErr w:type="spellStart"/>
      <w:r w:rsidRPr="00067891">
        <w:rPr>
          <w:rFonts w:ascii="Arial" w:hAnsi="Arial" w:cs="Arial"/>
          <w:b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b/>
          <w:iCs/>
          <w:sz w:val="20"/>
          <w:szCs w:val="20"/>
        </w:rPr>
        <w:t xml:space="preserve"> proveedor </w:t>
      </w:r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</w:t>
      </w:r>
      <w:proofErr w:type="spellStart"/>
      <w:r w:rsidRPr="00067891">
        <w:rPr>
          <w:rFonts w:ascii="Arial" w:hAnsi="Arial" w:cs="Arial"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proofErr w:type="spellStart"/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DB7A9F">
        <w:rPr>
          <w:rFonts w:ascii="Arial" w:hAnsi="Arial" w:cs="Arial"/>
          <w:iCs/>
          <w:sz w:val="20"/>
          <w:szCs w:val="20"/>
        </w:rPr>
        <w:t>puede</w:t>
      </w:r>
      <w:proofErr w:type="gramEnd"/>
      <w:r w:rsidR="00DB7A9F">
        <w:rPr>
          <w:rFonts w:ascii="Arial" w:hAnsi="Arial" w:cs="Arial"/>
          <w:iCs/>
          <w:sz w:val="20"/>
          <w:szCs w:val="20"/>
        </w:rPr>
        <w:t xml:space="preserve">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>
        <w:rPr>
          <w:rFonts w:ascii="Arial" w:hAnsi="Arial" w:cs="Arial"/>
          <w:b/>
          <w:iCs/>
          <w:sz w:val="20"/>
          <w:szCs w:val="20"/>
        </w:rPr>
        <w:t>xml</w:t>
      </w:r>
      <w:proofErr w:type="spellEnd"/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</w:t>
      </w:r>
      <w:proofErr w:type="spellStart"/>
      <w:r w:rsidR="00C129D1" w:rsidRPr="00AC1214">
        <w:rPr>
          <w:rFonts w:ascii="Arial" w:hAnsi="Arial" w:cs="Arial"/>
          <w:iCs/>
          <w:sz w:val="20"/>
          <w:szCs w:val="20"/>
        </w:rPr>
        <w:t>xml</w:t>
      </w:r>
      <w:proofErr w:type="spellEnd"/>
      <w:r w:rsidR="00C129D1" w:rsidRPr="00AC1214">
        <w:rPr>
          <w:rFonts w:ascii="Arial" w:hAnsi="Arial" w:cs="Arial"/>
          <w:iCs/>
          <w:sz w:val="20"/>
          <w:szCs w:val="20"/>
        </w:rPr>
        <w:t xml:space="preserve">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7E6724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9" type="#_x0000_t202" style="width:468.05pt;height:250.6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365E1C" w:rsidRPr="00CB5A02" w:rsidRDefault="00365E1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&lt;ConfigurationFile&gt;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Default="001C06CC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6C4AA8" w:rsidRPr="00B64515" w:rsidRDefault="006C4AA8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1F02C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365E1C" w:rsidRPr="00B64515" w:rsidRDefault="00365E1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ConfigurationFile&gt;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BodyText"/>
        <w:rPr>
          <w:rFonts w:ascii="Arial" w:hAnsi="Arial" w:cs="Arial"/>
          <w:lang w:val="es-AR"/>
        </w:rPr>
      </w:pPr>
    </w:p>
    <w:p w:rsidR="007F0FDF" w:rsidRDefault="007F0FDF" w:rsidP="00B651FD">
      <w:pPr>
        <w:pStyle w:val="BodyText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 xml:space="preserve">Tablas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de Configuración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sqldatabase</w:t>
      </w:r>
      <w:proofErr w:type="spellEnd"/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 w:rsidR="001B25F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válida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</w:t>
      </w:r>
      <w:proofErr w:type="spellStart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sqldatabase</w:t>
      </w:r>
      <w:proofErr w:type="spellEnd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lastRenderedPageBreak/>
        <w:t>Nombre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 xml:space="preserve">: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group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key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encrypted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bit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value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proofErr w:type="spell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</w:t>
      </w:r>
      <w:proofErr w:type="spell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(1000)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93575E">
      <w:pPr>
        <w:pStyle w:val="BodyText"/>
        <w:ind w:firstLine="360"/>
        <w:rPr>
          <w:lang w:val="es-AR"/>
        </w:rPr>
      </w:pPr>
      <w:r w:rsidRPr="00FC796C">
        <w:rPr>
          <w:lang w:val="es-AR"/>
        </w:rPr>
        <w:tab/>
      </w:r>
      <w:r w:rsidRPr="00FC796C">
        <w:rPr>
          <w:lang w:val="es-AR"/>
        </w:rPr>
        <w:tab/>
      </w:r>
    </w:p>
    <w:p w:rsidR="000838FC" w:rsidRPr="00FC796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Para este tipo de proveedores es necesario que exista una  base de datos con una tabla cuya estructura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este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proofErr w:type="spellStart"/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  <w:proofErr w:type="spellEnd"/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BodyText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configurar una la aplicación que utilice el sistema de configuración o bloque </w:t>
      </w:r>
      <w:proofErr w:type="spellStart"/>
      <w:r>
        <w:rPr>
          <w:rFonts w:ascii="Arial" w:hAnsi="Arial" w:cs="Arial"/>
          <w:sz w:val="20"/>
          <w:szCs w:val="20"/>
        </w:rPr>
        <w:t>fwk.configuration</w:t>
      </w:r>
      <w:proofErr w:type="spellEnd"/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App.config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</w:t>
      </w:r>
      <w:proofErr w:type="spellStart"/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 cualquier editor de texto.</w:t>
      </w:r>
    </w:p>
    <w:p w:rsidR="00B96CB6" w:rsidRPr="00A671A9" w:rsidRDefault="00B96CB6" w:rsidP="00B96CB6">
      <w:pPr>
        <w:pStyle w:val="Index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proofErr w:type="spellEnd"/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  <w:proofErr w:type="spellEnd"/>
    </w:p>
    <w:p w:rsidR="00B96CB6" w:rsidRDefault="007E6724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8" type="#_x0000_t202" style="width:477pt;height:41.7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5D461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535AD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5D4616" w:rsidRDefault="00B96CB6" w:rsidP="00B96CB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proofErr w:type="spellEnd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BodyText"/>
        <w:rPr>
          <w:i/>
          <w:sz w:val="20"/>
        </w:rPr>
      </w:pPr>
    </w:p>
    <w:p w:rsidR="00B96CB6" w:rsidRPr="002239ED" w:rsidRDefault="007E6724" w:rsidP="00B96CB6">
      <w:pPr>
        <w:pStyle w:val="BodyTex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7" type="#_x0000_t202" style="width:477pt;height:10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</w:t>
                  </w:r>
                  <w:r w:rsidR="0057353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BodyText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</w:t>
      </w:r>
      <w:r w:rsidR="00023C2A"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>cómo</w:t>
      </w: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7E6724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26" type="#_x0000_t202" style="width:444.05pt;height:260.9pt;mso-left-percent:-10001;mso-top-percent:-10001;mso-position-horizontal:absolute;mso-position-horizontal-relative:char;mso-position-vertical:absolute;mso-position-vertical-relative:line;mso-left-percent:-10001;mso-top-percent:-10001" fillcolor="#ddd">
            <v:textbox style="mso-next-textbox:#_x0000_s1026"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B96CB6" w:rsidRPr="000838FC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B96CB6" w:rsidRPr="000838FC" w:rsidSect="00AD1391">
      <w:headerReference w:type="default" r:id="rId8"/>
      <w:footerReference w:type="even" r:id="rId9"/>
      <w:footerReference w:type="default" r:id="rId10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724" w:rsidRDefault="007E6724" w:rsidP="00B63458">
      <w:pPr>
        <w:pStyle w:val="BodyText"/>
      </w:pPr>
      <w:r>
        <w:separator/>
      </w:r>
    </w:p>
  </w:endnote>
  <w:endnote w:type="continuationSeparator" w:id="0">
    <w:p w:rsidR="007E6724" w:rsidRDefault="007E6724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046C">
      <w:rPr>
        <w:rStyle w:val="PageNumber"/>
        <w:noProof/>
      </w:rPr>
      <w:t>6</w:t>
    </w:r>
    <w:r>
      <w:rPr>
        <w:rStyle w:val="PageNumber"/>
      </w:rPr>
      <w:fldChar w:fldCharType="end"/>
    </w:r>
  </w:p>
  <w:p w:rsidR="007852F0" w:rsidRPr="004D3EBD" w:rsidRDefault="00B857D5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</w:rPr>
    </w:pPr>
    <w:r>
      <w:rPr>
        <w:rStyle w:val="PageNumber"/>
        <w:rFonts w:ascii="Arial" w:hAnsi="Arial" w:cs="Arial"/>
        <w:caps/>
        <w:sz w:val="16"/>
        <w:szCs w:val="16"/>
      </w:rPr>
      <w:t>Configuration libra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>ries -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A8046C">
      <w:rPr>
        <w:rStyle w:val="PageNumber"/>
        <w:rFonts w:ascii="Arial" w:hAnsi="Arial" w:cs="Arial"/>
        <w:caps/>
        <w:noProof/>
        <w:sz w:val="16"/>
        <w:szCs w:val="16"/>
        <w:lang w:val="es-AR"/>
      </w:rPr>
      <w:t>6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724" w:rsidRDefault="007E6724" w:rsidP="00B63458">
      <w:pPr>
        <w:pStyle w:val="BodyText"/>
      </w:pPr>
      <w:r>
        <w:separator/>
      </w:r>
    </w:p>
  </w:footnote>
  <w:footnote w:type="continuationSeparator" w:id="0">
    <w:p w:rsidR="007E6724" w:rsidRDefault="007E6724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Heading3"/>
            <w:rPr>
              <w:sz w:val="20"/>
              <w:szCs w:val="20"/>
            </w:rPr>
          </w:pPr>
          <w:proofErr w:type="spellStart"/>
          <w:r w:rsidRPr="00944EE3">
            <w:rPr>
              <w:sz w:val="20"/>
              <w:szCs w:val="20"/>
            </w:rPr>
            <w:t>Fwk.Configuration</w:t>
          </w:r>
          <w:proofErr w:type="spellEnd"/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0800DC"/>
    <w:multiLevelType w:val="hybridMultilevel"/>
    <w:tmpl w:val="60565112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1"/>
  </w:num>
  <w:num w:numId="5">
    <w:abstractNumId w:val="39"/>
  </w:num>
  <w:num w:numId="6">
    <w:abstractNumId w:val="16"/>
  </w:num>
  <w:num w:numId="7">
    <w:abstractNumId w:val="32"/>
  </w:num>
  <w:num w:numId="8">
    <w:abstractNumId w:val="20"/>
  </w:num>
  <w:num w:numId="9">
    <w:abstractNumId w:val="15"/>
  </w:num>
  <w:num w:numId="10">
    <w:abstractNumId w:val="28"/>
  </w:num>
  <w:num w:numId="11">
    <w:abstractNumId w:val="26"/>
  </w:num>
  <w:num w:numId="12">
    <w:abstractNumId w:val="2"/>
  </w:num>
  <w:num w:numId="13">
    <w:abstractNumId w:val="11"/>
  </w:num>
  <w:num w:numId="14">
    <w:abstractNumId w:val="33"/>
  </w:num>
  <w:num w:numId="15">
    <w:abstractNumId w:val="10"/>
  </w:num>
  <w:num w:numId="16">
    <w:abstractNumId w:val="34"/>
  </w:num>
  <w:num w:numId="17">
    <w:abstractNumId w:val="40"/>
  </w:num>
  <w:num w:numId="18">
    <w:abstractNumId w:val="22"/>
  </w:num>
  <w:num w:numId="19">
    <w:abstractNumId w:val="31"/>
  </w:num>
  <w:num w:numId="20">
    <w:abstractNumId w:val="24"/>
  </w:num>
  <w:num w:numId="21">
    <w:abstractNumId w:val="6"/>
  </w:num>
  <w:num w:numId="22">
    <w:abstractNumId w:val="29"/>
  </w:num>
  <w:num w:numId="23">
    <w:abstractNumId w:val="5"/>
  </w:num>
  <w:num w:numId="24">
    <w:abstractNumId w:val="37"/>
  </w:num>
  <w:num w:numId="25">
    <w:abstractNumId w:val="38"/>
  </w:num>
  <w:num w:numId="26">
    <w:abstractNumId w:val="35"/>
  </w:num>
  <w:num w:numId="27">
    <w:abstractNumId w:val="9"/>
  </w:num>
  <w:num w:numId="28">
    <w:abstractNumId w:val="30"/>
  </w:num>
  <w:num w:numId="29">
    <w:abstractNumId w:val="17"/>
  </w:num>
  <w:num w:numId="30">
    <w:abstractNumId w:val="13"/>
  </w:num>
  <w:num w:numId="31">
    <w:abstractNumId w:val="36"/>
  </w:num>
  <w:num w:numId="32">
    <w:abstractNumId w:val="23"/>
  </w:num>
  <w:num w:numId="33">
    <w:abstractNumId w:val="4"/>
  </w:num>
  <w:num w:numId="34">
    <w:abstractNumId w:val="25"/>
  </w:num>
  <w:num w:numId="35">
    <w:abstractNumId w:val="0"/>
  </w:num>
  <w:num w:numId="36">
    <w:abstractNumId w:val="18"/>
  </w:num>
  <w:num w:numId="37">
    <w:abstractNumId w:val="14"/>
  </w:num>
  <w:num w:numId="38">
    <w:abstractNumId w:val="19"/>
  </w:num>
  <w:num w:numId="39">
    <w:abstractNumId w:val="7"/>
  </w:num>
  <w:num w:numId="40">
    <w:abstractNumId w:val="21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2066D"/>
    <w:rsid w:val="00021E3D"/>
    <w:rsid w:val="00023C2A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39E3"/>
    <w:rsid w:val="001373F2"/>
    <w:rsid w:val="00160B7B"/>
    <w:rsid w:val="00177CF2"/>
    <w:rsid w:val="001817B7"/>
    <w:rsid w:val="00181888"/>
    <w:rsid w:val="00194F86"/>
    <w:rsid w:val="0019601A"/>
    <w:rsid w:val="001B25F1"/>
    <w:rsid w:val="001B28BE"/>
    <w:rsid w:val="001B2BB1"/>
    <w:rsid w:val="001B4AA9"/>
    <w:rsid w:val="001C06CC"/>
    <w:rsid w:val="001E173E"/>
    <w:rsid w:val="001E6B15"/>
    <w:rsid w:val="001F02C5"/>
    <w:rsid w:val="001F0314"/>
    <w:rsid w:val="00213202"/>
    <w:rsid w:val="00213244"/>
    <w:rsid w:val="00220E7C"/>
    <w:rsid w:val="002239ED"/>
    <w:rsid w:val="002253D2"/>
    <w:rsid w:val="00233133"/>
    <w:rsid w:val="002563EE"/>
    <w:rsid w:val="002728C2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D770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65E1C"/>
    <w:rsid w:val="003770C0"/>
    <w:rsid w:val="00377B1F"/>
    <w:rsid w:val="00377C7E"/>
    <w:rsid w:val="003A3654"/>
    <w:rsid w:val="003A386D"/>
    <w:rsid w:val="003A7F2A"/>
    <w:rsid w:val="003B6CEF"/>
    <w:rsid w:val="003C0D9D"/>
    <w:rsid w:val="003C4F46"/>
    <w:rsid w:val="003C5F8B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1883"/>
    <w:rsid w:val="004B6227"/>
    <w:rsid w:val="004D3EBD"/>
    <w:rsid w:val="004D76A4"/>
    <w:rsid w:val="004F13EF"/>
    <w:rsid w:val="0050332D"/>
    <w:rsid w:val="005120E6"/>
    <w:rsid w:val="00521174"/>
    <w:rsid w:val="00535AD0"/>
    <w:rsid w:val="00542125"/>
    <w:rsid w:val="0054547A"/>
    <w:rsid w:val="005538B7"/>
    <w:rsid w:val="00556AFA"/>
    <w:rsid w:val="00560F69"/>
    <w:rsid w:val="0057353F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0721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C00DE"/>
    <w:rsid w:val="006C4AA8"/>
    <w:rsid w:val="006D6231"/>
    <w:rsid w:val="006E32DC"/>
    <w:rsid w:val="006E345A"/>
    <w:rsid w:val="006E379E"/>
    <w:rsid w:val="006F216D"/>
    <w:rsid w:val="006F40C7"/>
    <w:rsid w:val="00700218"/>
    <w:rsid w:val="00701A96"/>
    <w:rsid w:val="00707389"/>
    <w:rsid w:val="00711C36"/>
    <w:rsid w:val="00712FF1"/>
    <w:rsid w:val="00713259"/>
    <w:rsid w:val="0071409D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E6724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92E82"/>
    <w:rsid w:val="009A0551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046C"/>
    <w:rsid w:val="00A839C8"/>
    <w:rsid w:val="00A83CC2"/>
    <w:rsid w:val="00AA1964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B010DA"/>
    <w:rsid w:val="00B0193F"/>
    <w:rsid w:val="00B12024"/>
    <w:rsid w:val="00B1202D"/>
    <w:rsid w:val="00B124EA"/>
    <w:rsid w:val="00B172B2"/>
    <w:rsid w:val="00B248A8"/>
    <w:rsid w:val="00B2776F"/>
    <w:rsid w:val="00B459DB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857D5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342DB"/>
    <w:rsid w:val="00C37B9C"/>
    <w:rsid w:val="00C42D05"/>
    <w:rsid w:val="00C4377A"/>
    <w:rsid w:val="00C555D8"/>
    <w:rsid w:val="00C6090C"/>
    <w:rsid w:val="00C70F9D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BA7"/>
    <w:rsid w:val="00DC0DA0"/>
    <w:rsid w:val="00DC1578"/>
    <w:rsid w:val="00DC73DA"/>
    <w:rsid w:val="00DD2919"/>
    <w:rsid w:val="00DE4365"/>
    <w:rsid w:val="00DE46CA"/>
    <w:rsid w:val="00DF2DC2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83731"/>
    <w:rsid w:val="00E85D0D"/>
    <w:rsid w:val="00EA0E1F"/>
    <w:rsid w:val="00EA2E8C"/>
    <w:rsid w:val="00EA3617"/>
    <w:rsid w:val="00EA7F73"/>
    <w:rsid w:val="00EC0048"/>
    <w:rsid w:val="00ED36B1"/>
    <w:rsid w:val="00ED5083"/>
    <w:rsid w:val="00ED6A96"/>
    <w:rsid w:val="00EE530F"/>
    <w:rsid w:val="00EE550A"/>
    <w:rsid w:val="00EF302B"/>
    <w:rsid w:val="00F15F16"/>
    <w:rsid w:val="00F214F1"/>
    <w:rsid w:val="00F21BC4"/>
    <w:rsid w:val="00F3121C"/>
    <w:rsid w:val="00F52E30"/>
    <w:rsid w:val="00F62EEB"/>
    <w:rsid w:val="00F85B72"/>
    <w:rsid w:val="00FA28FE"/>
    <w:rsid w:val="00FB1088"/>
    <w:rsid w:val="00FC279D"/>
    <w:rsid w:val="00FC3B69"/>
    <w:rsid w:val="00FC796C"/>
    <w:rsid w:val="00FD4789"/>
    <w:rsid w:val="00FE0AC3"/>
    <w:rsid w:val="00FE773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1391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AD1391"/>
    <w:rPr>
      <w:color w:val="0000FF"/>
      <w:u w:val="single"/>
    </w:rPr>
  </w:style>
  <w:style w:type="character" w:styleId="FollowedHyperlink">
    <w:name w:val="FollowedHyperlink"/>
    <w:basedOn w:val="DefaultParagraphFont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sid w:val="00C8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6D71"/>
    <w:rPr>
      <w:rFonts w:ascii="Courier New" w:hAnsi="Courier New" w:cs="Courier New"/>
      <w:sz w:val="22"/>
      <w:szCs w:val="24"/>
      <w:lang w:val="es-MX"/>
    </w:rPr>
  </w:style>
  <w:style w:type="character" w:styleId="BookTitle">
    <w:name w:val="Book Title"/>
    <w:basedOn w:val="DefaultParagraphFont"/>
    <w:uiPriority w:val="33"/>
    <w:qFormat/>
    <w:rsid w:val="00556AF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943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 la aplicación:</vt:lpstr>
      <vt:lpstr>En la aplicación:</vt:lpstr>
    </vt:vector>
  </TitlesOfParts>
  <Company/>
  <LinksUpToDate>false</LinksUpToDate>
  <CharactersWithSpaces>6122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creator>moviedo</dc:creator>
  <cp:lastModifiedBy>moviedo</cp:lastModifiedBy>
  <cp:revision>93</cp:revision>
  <cp:lastPrinted>2016-04-12T13:58:00Z</cp:lastPrinted>
  <dcterms:created xsi:type="dcterms:W3CDTF">2010-08-25T19:16:00Z</dcterms:created>
  <dcterms:modified xsi:type="dcterms:W3CDTF">2016-04-12T13:58:00Z</dcterms:modified>
</cp:coreProperties>
</file>