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288" w:lineRule="auto"/>
      </w:pPr>
      <w:r>
        <w:rPr>
          <w:rFonts w:ascii="맑은 고딕" w:hAnsi="맑은 고딕" w:eastAsia="맑은 고딕"/>
          <w:b/>
          <w:color w:val="003366"/>
          <w:sz w:val="36"/>
        </w:rPr>
        <w:t>경력기술서</w:t>
      </w:r>
    </w:p>
    <w:p>
      <w:pPr>
        <w:spacing w:before="240" w:after="160" w:lineRule="auto" w:line="312"/>
      </w:pPr>
      <w:r>
        <w:rPr>
          <w:rFonts w:ascii="맑은 고딕" w:hAnsi="맑은 고딕" w:eastAsia="맑은 고딕"/>
          <w:b/>
          <w:color w:val="003366"/>
          <w:sz w:val="28"/>
        </w:rPr>
        <w:t>1. 경력 개요</w:t>
      </w:r>
    </w:p>
    <w:p>
      <w:pPr>
        <w:spacing w:after="80" w:lineRule="auto" w:line="360"/>
        <w:ind w:left="280"/>
      </w:pPr>
      <w:r>
        <w:rPr>
          <w:rFonts w:ascii="맑은 고딕" w:hAnsi="맑은 고딕" w:eastAsia="맑은 고딕"/>
          <w:b w:val="0"/>
          <w:sz w:val="22"/>
        </w:rPr>
        <w:t xml:space="preserve">• </w:t>
      </w:r>
      <w:r>
        <w:rPr>
          <w:rFonts w:ascii="맑은 고딕" w:hAnsi="맑은 고딕" w:eastAsia="맑은 고딕"/>
          <w:b w:val="0"/>
          <w:sz w:val="22"/>
        </w:rPr>
        <w:t>금호석유화학(주) PPG사업부 해외영업팀 / 사원 / 2023.01 ~ 현재 (3년차)</w:t>
      </w:r>
    </w:p>
    <w:p>
      <w:pPr>
        <w:spacing w:after="80" w:lineRule="auto" w:line="360"/>
        <w:ind w:left="280"/>
      </w:pPr>
      <w:r>
        <w:rPr>
          <w:rFonts w:ascii="맑은 고딕" w:hAnsi="맑은 고딕" w:eastAsia="맑은 고딕"/>
          <w:b w:val="0"/>
          <w:sz w:val="22"/>
        </w:rPr>
        <w:t xml:space="preserve">• </w:t>
      </w:r>
      <w:r>
        <w:rPr>
          <w:rFonts w:ascii="맑은 고딕" w:hAnsi="맑은 고딕" w:eastAsia="맑은 고딕"/>
          <w:b w:val="0"/>
          <w:sz w:val="22"/>
        </w:rPr>
        <w:t>글로벌 B2B 화학소재(PPG) 해외영업 담당 — 일본·인도·유럽·남미 시장</w:t>
      </w:r>
    </w:p>
    <w:p>
      <w:pPr>
        <w:spacing w:before="240" w:after="160" w:lineRule="auto" w:line="312"/>
      </w:pPr>
      <w:r>
        <w:rPr>
          <w:rFonts w:ascii="맑은 고딕" w:hAnsi="맑은 고딕" w:eastAsia="맑은 고딕"/>
          <w:b/>
          <w:color w:val="003366"/>
          <w:sz w:val="28"/>
        </w:rPr>
        <w:t>2. 담당 업무</w:t>
      </w:r>
    </w:p>
    <w:p>
      <w:pPr>
        <w:spacing w:after="80" w:lineRule="auto" w:line="360"/>
        <w:ind w:left="280"/>
      </w:pPr>
      <w:r>
        <w:rPr>
          <w:rFonts w:ascii="맑은 고딕" w:hAnsi="맑은 고딕" w:eastAsia="맑은 고딕"/>
          <w:b w:val="0"/>
          <w:sz w:val="22"/>
        </w:rPr>
        <w:t xml:space="preserve">• </w:t>
      </w:r>
      <w:r>
        <w:rPr>
          <w:rFonts w:ascii="맑은 고딕" w:hAnsi="맑은 고딕" w:eastAsia="맑은 고딕"/>
          <w:b w:val="0"/>
          <w:sz w:val="22"/>
        </w:rPr>
        <w:t>PPG 제품 해외영업 총괄 — 일본·인도·유럽·남미 4개 시장 담당</w:t>
      </w:r>
    </w:p>
    <w:p>
      <w:pPr>
        <w:spacing w:after="80" w:lineRule="auto" w:line="360"/>
        <w:ind w:left="280"/>
      </w:pPr>
      <w:r>
        <w:rPr>
          <w:rFonts w:ascii="맑은 고딕" w:hAnsi="맑은 고딕" w:eastAsia="맑은 고딕"/>
          <w:b w:val="0"/>
          <w:sz w:val="22"/>
        </w:rPr>
        <w:t xml:space="preserve">• </w:t>
      </w:r>
      <w:r>
        <w:rPr>
          <w:rFonts w:ascii="맑은 고딕" w:hAnsi="맑은 고딕" w:eastAsia="맑은 고딕"/>
          <w:b w:val="0"/>
          <w:sz w:val="22"/>
        </w:rPr>
        <w:t>시황·환율·물류비를 반영한 원가 분석 후 고객사 견적 제출 및 가격 협상</w:t>
      </w:r>
    </w:p>
    <w:p>
      <w:pPr>
        <w:spacing w:after="80" w:lineRule="auto" w:line="360"/>
        <w:ind w:left="280"/>
      </w:pPr>
      <w:r>
        <w:rPr>
          <w:rFonts w:ascii="맑은 고딕" w:hAnsi="맑은 고딕" w:eastAsia="맑은 고딕"/>
          <w:b w:val="0"/>
          <w:sz w:val="22"/>
        </w:rPr>
        <w:t xml:space="preserve">• </w:t>
      </w:r>
      <w:r>
        <w:rPr>
          <w:rFonts w:ascii="맑은 고딕" w:hAnsi="맑은 고딕" w:eastAsia="맑은 고딕"/>
          <w:b w:val="0"/>
          <w:sz w:val="22"/>
        </w:rPr>
        <w:t>Incoterms, L/C, CI·PL·BL 등 수출입 서류 작성 및 외국환 거래 처리</w:t>
      </w:r>
    </w:p>
    <w:p>
      <w:pPr>
        <w:spacing w:after="80" w:lineRule="auto" w:line="360"/>
        <w:ind w:left="280"/>
      </w:pPr>
      <w:r>
        <w:rPr>
          <w:rFonts w:ascii="맑은 고딕" w:hAnsi="맑은 고딕" w:eastAsia="맑은 고딕"/>
          <w:b w:val="0"/>
          <w:sz w:val="22"/>
        </w:rPr>
        <w:t xml:space="preserve">• </w:t>
      </w:r>
      <w:r>
        <w:rPr>
          <w:rFonts w:ascii="맑은 고딕" w:hAnsi="맑은 고딕" w:eastAsia="맑은 고딕"/>
          <w:b w:val="0"/>
          <w:sz w:val="22"/>
        </w:rPr>
        <w:t>4개 문화권 거래처 동시 관리 — 클레임·납기·품질 이슈 대응</w:t>
      </w:r>
    </w:p>
    <w:p>
      <w:pPr>
        <w:spacing w:after="80" w:lineRule="auto" w:line="360"/>
        <w:ind w:left="280"/>
      </w:pPr>
      <w:r>
        <w:rPr>
          <w:rFonts w:ascii="맑은 고딕" w:hAnsi="맑은 고딕" w:eastAsia="맑은 고딕"/>
          <w:b w:val="0"/>
          <w:sz w:val="22"/>
        </w:rPr>
        <w:t xml:space="preserve">• </w:t>
      </w:r>
      <w:r>
        <w:rPr>
          <w:rFonts w:ascii="맑은 고딕" w:hAnsi="맑은 고딕" w:eastAsia="맑은 고딕"/>
          <w:b w:val="0"/>
          <w:sz w:val="22"/>
        </w:rPr>
        <w:t>신규 시장·고객 발굴 및 경쟁사 동향 모니터링</w:t>
      </w:r>
    </w:p>
    <w:p>
      <w:pPr>
        <w:spacing w:after="80" w:lineRule="auto" w:line="360"/>
        <w:ind w:left="280"/>
      </w:pPr>
      <w:r>
        <w:rPr>
          <w:rFonts w:ascii="맑은 고딕" w:hAnsi="맑은 고딕" w:eastAsia="맑은 고딕"/>
          <w:b w:val="0"/>
          <w:sz w:val="22"/>
        </w:rPr>
        <w:t xml:space="preserve">• </w:t>
      </w:r>
      <w:r>
        <w:rPr>
          <w:rFonts w:ascii="맑은 고딕" w:hAnsi="맑은 고딕" w:eastAsia="맑은 고딕"/>
          <w:b w:val="0"/>
          <w:sz w:val="22"/>
        </w:rPr>
        <w:t>AI·VBA 활용 감사 자료 준비 자동화로 1개월 → 3일 단축</w:t>
      </w:r>
    </w:p>
    <w:p>
      <w:pPr>
        <w:spacing w:after="80" w:lineRule="auto" w:line="360"/>
        <w:ind w:left="280"/>
      </w:pPr>
      <w:r>
        <w:rPr>
          <w:rFonts w:ascii="맑은 고딕" w:hAnsi="맑은 고딕" w:eastAsia="맑은 고딕"/>
          <w:b w:val="0"/>
          <w:sz w:val="22"/>
        </w:rPr>
        <w:t xml:space="preserve">• </w:t>
      </w:r>
      <w:r>
        <w:rPr>
          <w:rFonts w:ascii="맑은 고딕" w:hAnsi="맑은 고딕" w:eastAsia="맑은 고딕"/>
          <w:b w:val="0"/>
          <w:sz w:val="22"/>
        </w:rPr>
        <w:t>화학 비전공 입사 후 독학으로 1년 만에 팀 매출 20% 책임 담당자로 성장</w:t>
      </w:r>
    </w:p>
    <w:p>
      <w:pPr>
        <w:spacing w:before="240" w:after="160" w:lineRule="auto" w:line="312"/>
      </w:pPr>
      <w:r>
        <w:rPr>
          <w:rFonts w:ascii="맑은 고딕" w:hAnsi="맑은 고딕" w:eastAsia="맑은 고딕"/>
          <w:b/>
          <w:color w:val="003366"/>
          <w:sz w:val="28"/>
        </w:rPr>
        <w:t>3. 주요 성과</w:t>
      </w:r>
    </w:p>
    <w:p>
      <w:pPr>
        <w:spacing w:after="80" w:lineRule="auto" w:line="360"/>
        <w:ind w:left="280"/>
      </w:pPr>
      <w:r>
        <w:rPr>
          <w:rFonts w:ascii="맑은 고딕" w:hAnsi="맑은 고딕" w:eastAsia="맑은 고딕"/>
          <w:b w:val="0"/>
          <w:sz w:val="22"/>
        </w:rPr>
        <w:t xml:space="preserve">• </w:t>
      </w:r>
      <w:r>
        <w:rPr>
          <w:rFonts w:ascii="맑은 고딕" w:hAnsi="맑은 고딕" w:eastAsia="맑은 고딕"/>
          <w:b w:val="0"/>
          <w:sz w:val="22"/>
        </w:rPr>
        <w:t>일본 시장 물량 6개월 만에 42톤 → 84톤으로 2배 확대</w:t>
      </w:r>
    </w:p>
    <w:p>
      <w:pPr>
        <w:spacing w:after="80" w:lineRule="auto" w:line="360"/>
        <w:ind w:left="280"/>
      </w:pPr>
      <w:r>
        <w:rPr>
          <w:rFonts w:ascii="맑은 고딕" w:hAnsi="맑은 고딕" w:eastAsia="맑은 고딕"/>
          <w:b w:val="0"/>
          <w:sz w:val="22"/>
        </w:rPr>
        <w:t xml:space="preserve">• </w:t>
      </w:r>
      <w:r>
        <w:rPr>
          <w:rFonts w:ascii="맑은 고딕" w:hAnsi="맑은 고딕" w:eastAsia="맑은 고딕"/>
          <w:b w:val="0"/>
          <w:sz w:val="22"/>
        </w:rPr>
        <w:t>중동 공급 불안기에 장기계약 갱신 — 톤당 +$600 인상</w:t>
      </w:r>
    </w:p>
    <w:p>
      <w:pPr>
        <w:spacing w:after="80" w:lineRule="auto" w:line="360"/>
        <w:ind w:left="280"/>
      </w:pPr>
      <w:r>
        <w:rPr>
          <w:rFonts w:ascii="맑은 고딕" w:hAnsi="맑은 고딕" w:eastAsia="맑은 고딕"/>
          <w:b w:val="0"/>
          <w:sz w:val="22"/>
        </w:rPr>
        <w:t xml:space="preserve">• </w:t>
      </w:r>
      <w:r>
        <w:rPr>
          <w:rFonts w:ascii="맑은 고딕" w:hAnsi="맑은 고딕" w:eastAsia="맑은 고딕"/>
          <w:b w:val="0"/>
          <w:sz w:val="22"/>
        </w:rPr>
        <w:t>브라질 거래처의 톤당 -$30 인하 요구를 시황 데이터로 방어</w:t>
      </w:r>
    </w:p>
    <w:p>
      <w:pPr>
        <w:spacing w:after="80" w:lineRule="auto" w:line="360"/>
        <w:ind w:left="280"/>
      </w:pPr>
      <w:r>
        <w:rPr>
          <w:rFonts w:ascii="맑은 고딕" w:hAnsi="맑은 고딕" w:eastAsia="맑은 고딕"/>
          <w:b w:val="0"/>
          <w:sz w:val="22"/>
        </w:rPr>
        <w:t xml:space="preserve">• </w:t>
      </w:r>
      <w:r>
        <w:rPr>
          <w:rFonts w:ascii="맑은 고딕" w:hAnsi="맑은 고딕" w:eastAsia="맑은 고딕"/>
          <w:b w:val="0"/>
          <w:sz w:val="22"/>
        </w:rPr>
        <w:t>인도 신규 시장 진입 및 신규 매출처 확보</w:t>
      </w:r>
    </w:p>
    <w:p>
      <w:pPr>
        <w:spacing w:after="80" w:lineRule="auto" w:line="360"/>
        <w:ind w:left="280"/>
      </w:pPr>
      <w:r>
        <w:rPr>
          <w:rFonts w:ascii="맑은 고딕" w:hAnsi="맑은 고딕" w:eastAsia="맑은 고딕"/>
          <w:b w:val="0"/>
          <w:sz w:val="22"/>
        </w:rPr>
        <w:t xml:space="preserve">• </w:t>
      </w:r>
      <w:r>
        <w:rPr>
          <w:rFonts w:ascii="맑은 고딕" w:hAnsi="맑은 고딕" w:eastAsia="맑은 고딕"/>
          <w:b w:val="0"/>
          <w:sz w:val="22"/>
        </w:rPr>
        <w:t>감사 자료 준비 프로세스 자동화로 업무 시간 90% 단축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