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9306"/>
      </w:tblGrid>
      <w:tr>
        <w:trPr>
          <w:trHeight w:val="16838" w:hRule="exac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60"/>
              <w:left w:type="dxa" w:w="270"/>
              <w:bottom w:type="dxa" w:w="360"/>
              <w:right w:type="dxa" w:w="250"/>
            </w:tcMar>
            <w:vAlign w:val="top"/>
          </w:tcPr>
          <w:p>
            <w:pPr>
              <w:spacing w:after="100" w:before="0" w:line="240" w:lineRule="auto"/>
              <w:jc w:val="center"/>
            </w:pPr>
            <w:r>
              <w:drawing>
                <wp:inline distT="0" distB="0" distL="0" distR="0">
                  <wp:extent cx="7810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22"/>
                <w:szCs w:val="22"/>
              </w:rPr>
              <w:t xml:space="preserve">Seokjin Hong</w:t>
            </w:r>
          </w:p>
          <w:p>
            <w:pPr>
              <w:spacing w:after="160" w:before="0" w:line="252" w:lineRule="auto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BAECB"/>
                <w:sz w:val="13"/>
                <w:szCs w:val="13"/>
              </w:rPr>
              <w:t xml:space="preserve">Overseas Sales &amp; Strategy</w:t>
            </w:r>
          </w:p>
          <w:p>
            <w:pPr>
              <w:spacing w:after="60" w:before="140" w:line="240" w:lineRule="auto"/>
            </w:pPr>
            <w:r>
              <w:rPr>
                <w:rFonts w:ascii="Calibri" w:cs="Calibri" w:eastAsia="Calibri" w:hAnsi="Calibri"/>
                <w:b/>
                <w:bCs/>
                <w:color w:val="8BAECB"/>
                <w:spacing w:val="22"/>
                <w:sz w:val="13"/>
                <w:szCs w:val="13"/>
              </w:rPr>
              <w:t xml:space="preserve">CONTACT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4"/>
                <w:szCs w:val="14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4"/>
                <w:szCs w:val="14"/>
              </w:rPr>
              <w:t xml:space="preserve">samhongusa00700@gmail.com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5"/>
                <w:szCs w:val="15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5"/>
                <w:szCs w:val="15"/>
              </w:rPr>
              <w:t xml:space="preserve">+82 10 7613 1954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5"/>
                <w:szCs w:val="15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5"/>
                <w:szCs w:val="15"/>
              </w:rPr>
              <w:t xml:space="preserve">Seoul, South Korea</w:t>
            </w:r>
          </w:p>
          <w:p>
            <w:pPr>
              <w:spacing w:after="60" w:before="140" w:line="240" w:lineRule="auto"/>
            </w:pPr>
            <w:r>
              <w:rPr>
                <w:rFonts w:ascii="Calibri" w:cs="Calibri" w:eastAsia="Calibri" w:hAnsi="Calibri"/>
                <w:b/>
                <w:bCs/>
                <w:color w:val="8BAECB"/>
                <w:spacing w:val="22"/>
                <w:sz w:val="13"/>
                <w:szCs w:val="13"/>
              </w:rPr>
              <w:t xml:space="preserve">LANGUAGES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6"/>
                <w:szCs w:val="16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6"/>
                <w:szCs w:val="16"/>
              </w:rPr>
              <w:t xml:space="preserve">Korean — Native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6"/>
                <w:szCs w:val="16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6"/>
                <w:szCs w:val="16"/>
              </w:rPr>
              <w:t xml:space="preserve">English — Advanced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6"/>
                <w:szCs w:val="16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6"/>
                <w:szCs w:val="16"/>
              </w:rPr>
              <w:t xml:space="preserve">Russian — Advanced</w:t>
            </w:r>
          </w:p>
          <w:p>
            <w:pPr>
              <w:spacing w:after="60" w:before="140" w:line="240" w:lineRule="auto"/>
            </w:pPr>
            <w:r>
              <w:rPr>
                <w:rFonts w:ascii="Calibri" w:cs="Calibri" w:eastAsia="Calibri" w:hAnsi="Calibri"/>
                <w:b/>
                <w:bCs/>
                <w:color w:val="8BAECB"/>
                <w:spacing w:val="22"/>
                <w:sz w:val="13"/>
                <w:szCs w:val="13"/>
              </w:rPr>
              <w:t xml:space="preserve">CERTIFICATIONS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6"/>
                <w:szCs w:val="16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6"/>
                <w:szCs w:val="16"/>
              </w:rPr>
              <w:t xml:space="preserve">Trade Specialist Lv.1 </w:t>
            </w:r>
            <w:r>
              <w:rPr>
                <w:rFonts w:ascii="Calibri" w:cs="Calibri" w:eastAsia="Calibri" w:hAnsi="Calibri"/>
                <w:i/>
                <w:iCs/>
                <w:color w:val="8BAECB"/>
                <w:sz w:val="13"/>
                <w:szCs w:val="13"/>
              </w:rPr>
              <w:t xml:space="preserve">(Korea)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6"/>
                <w:szCs w:val="16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6"/>
                <w:szCs w:val="16"/>
              </w:rPr>
              <w:t xml:space="preserve">Trade English Cert. Lv.1 </w:t>
            </w:r>
            <w:r>
              <w:rPr>
                <w:rFonts w:ascii="Calibri" w:cs="Calibri" w:eastAsia="Calibri" w:hAnsi="Calibri"/>
                <w:i/>
                <w:iCs/>
                <w:color w:val="8BAECB"/>
                <w:sz w:val="13"/>
                <w:szCs w:val="13"/>
              </w:rPr>
              <w:t xml:space="preserve">(Korea)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6"/>
                <w:szCs w:val="16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6"/>
                <w:szCs w:val="16"/>
              </w:rPr>
              <w:t xml:space="preserve">FX Specialist Lv.2 </w:t>
            </w:r>
            <w:r>
              <w:rPr>
                <w:rFonts w:ascii="Calibri" w:cs="Calibri" w:eastAsia="Calibri" w:hAnsi="Calibri"/>
                <w:i/>
                <w:iCs/>
                <w:color w:val="8BAECB"/>
                <w:sz w:val="13"/>
                <w:szCs w:val="13"/>
              </w:rPr>
              <w:t xml:space="preserve">(Korea)</w:t>
            </w:r>
          </w:p>
          <w:p>
            <w:pPr>
              <w:spacing w:after="60" w:before="140" w:line="240" w:lineRule="auto"/>
            </w:pPr>
            <w:r>
              <w:rPr>
                <w:rFonts w:ascii="Calibri" w:cs="Calibri" w:eastAsia="Calibri" w:hAnsi="Calibri"/>
                <w:b/>
                <w:bCs/>
                <w:color w:val="8BAECB"/>
                <w:spacing w:val="22"/>
                <w:sz w:val="13"/>
                <w:szCs w:val="13"/>
              </w:rPr>
              <w:t xml:space="preserve">CORE SKILLS</w:t>
            </w:r>
          </w:p>
          <w:p>
            <w:pPr>
              <w:spacing w:after="62" w:before="0" w:line="240" w:lineRule="auto"/>
            </w:pPr>
            <w:r>
              <w:rPr>
                <w:rFonts w:ascii="Calibri" w:cs="Calibri" w:eastAsia="Calibri" w:hAnsi="Calibri"/>
                <w:color w:val="FFFFFF"/>
                <w:spacing w:val="3"/>
                <w:sz w:val="14"/>
                <w:szCs w:val="14"/>
                <w:shd w:fill="2E547A" w:val="clear"/>
              </w:rPr>
              <w:t xml:space="preserve">  Pricing Strategy  </w:t>
            </w:r>
          </w:p>
          <w:p>
            <w:pPr>
              <w:spacing w:after="62" w:before="0" w:line="240" w:lineRule="auto"/>
            </w:pPr>
            <w:r>
              <w:rPr>
                <w:rFonts w:ascii="Calibri" w:cs="Calibri" w:eastAsia="Calibri" w:hAnsi="Calibri"/>
                <w:color w:val="FFFFFF"/>
                <w:spacing w:val="3"/>
                <w:sz w:val="14"/>
                <w:szCs w:val="14"/>
                <w:shd w:fill="2E547A" w:val="clear"/>
              </w:rPr>
              <w:t xml:space="preserve">  Market Intelligence  </w:t>
            </w:r>
          </w:p>
          <w:p>
            <w:pPr>
              <w:spacing w:after="62" w:before="0" w:line="240" w:lineRule="auto"/>
            </w:pPr>
            <w:r>
              <w:rPr>
                <w:rFonts w:ascii="Calibri" w:cs="Calibri" w:eastAsia="Calibri" w:hAnsi="Calibri"/>
                <w:color w:val="FFFFFF"/>
                <w:spacing w:val="3"/>
                <w:sz w:val="14"/>
                <w:szCs w:val="14"/>
                <w:shd w:fill="2E547A" w:val="clear"/>
              </w:rPr>
              <w:t xml:space="preserve">  Trade Data Analysis  </w:t>
            </w:r>
          </w:p>
          <w:p>
            <w:pPr>
              <w:spacing w:after="62" w:before="0" w:line="240" w:lineRule="auto"/>
            </w:pPr>
            <w:r>
              <w:rPr>
                <w:rFonts w:ascii="Calibri" w:cs="Calibri" w:eastAsia="Calibri" w:hAnsi="Calibri"/>
                <w:color w:val="FFFFFF"/>
                <w:spacing w:val="3"/>
                <w:sz w:val="14"/>
                <w:szCs w:val="14"/>
                <w:shd w:fill="2E547A" w:val="clear"/>
              </w:rPr>
              <w:t xml:space="preserve">  P&amp;L Management  </w:t>
            </w:r>
          </w:p>
          <w:p>
            <w:pPr>
              <w:spacing w:after="62" w:before="0" w:line="240" w:lineRule="auto"/>
            </w:pPr>
            <w:r>
              <w:rPr>
                <w:rFonts w:ascii="Calibri" w:cs="Calibri" w:eastAsia="Calibri" w:hAnsi="Calibri"/>
                <w:color w:val="FFFFFF"/>
                <w:spacing w:val="3"/>
                <w:sz w:val="14"/>
                <w:szCs w:val="14"/>
                <w:shd w:fill="2E547A" w:val="clear"/>
              </w:rPr>
              <w:t xml:space="preserve">  Competitive Analysis  </w:t>
            </w:r>
          </w:p>
          <w:p>
            <w:pPr>
              <w:spacing w:after="62" w:before="0" w:line="240" w:lineRule="auto"/>
            </w:pPr>
            <w:r>
              <w:rPr>
                <w:rFonts w:ascii="Calibri" w:cs="Calibri" w:eastAsia="Calibri" w:hAnsi="Calibri"/>
                <w:color w:val="FFFFFF"/>
                <w:spacing w:val="3"/>
                <w:sz w:val="14"/>
                <w:szCs w:val="14"/>
                <w:shd w:fill="2E547A" w:val="clear"/>
              </w:rPr>
              <w:t xml:space="preserve">  B2B Sales  </w:t>
            </w:r>
          </w:p>
          <w:p>
            <w:pPr>
              <w:spacing w:after="62" w:before="0" w:line="240" w:lineRule="auto"/>
            </w:pPr>
            <w:r>
              <w:rPr>
                <w:rFonts w:ascii="Calibri" w:cs="Calibri" w:eastAsia="Calibri" w:hAnsi="Calibri"/>
                <w:color w:val="FFFFFF"/>
                <w:spacing w:val="3"/>
                <w:sz w:val="14"/>
                <w:szCs w:val="14"/>
                <w:shd w:fill="2E547A" w:val="clear"/>
              </w:rPr>
              <w:t xml:space="preserve">  Project Management  </w:t>
            </w:r>
          </w:p>
          <w:p>
            <w:pPr>
              <w:spacing w:after="62" w:before="0" w:line="240" w:lineRule="auto"/>
            </w:pPr>
            <w:r>
              <w:rPr>
                <w:rFonts w:ascii="Calibri" w:cs="Calibri" w:eastAsia="Calibri" w:hAnsi="Calibri"/>
                <w:color w:val="FFFFFF"/>
                <w:spacing w:val="3"/>
                <w:sz w:val="14"/>
                <w:szCs w:val="14"/>
                <w:shd w:fill="2E547A" w:val="clear"/>
              </w:rPr>
              <w:t xml:space="preserve">  Stakeholder Mgmt  </w:t>
            </w:r>
          </w:p>
          <w:p>
            <w:pPr>
              <w:spacing w:after="60" w:before="140" w:line="240" w:lineRule="auto"/>
            </w:pPr>
            <w:r>
              <w:rPr>
                <w:rFonts w:ascii="Calibri" w:cs="Calibri" w:eastAsia="Calibri" w:hAnsi="Calibri"/>
                <w:b/>
                <w:bCs/>
                <w:color w:val="8BAECB"/>
                <w:spacing w:val="22"/>
                <w:sz w:val="13"/>
                <w:szCs w:val="13"/>
              </w:rPr>
              <w:t xml:space="preserve">EDUCATION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5"/>
                <w:szCs w:val="15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5"/>
                <w:szCs w:val="15"/>
              </w:rPr>
              <w:t xml:space="preserve">HUFS — BA, Russian Language</w:t>
            </w:r>
          </w:p>
          <w:p>
            <w:pPr>
              <w:spacing w:after="32" w:before="0" w:line="248" w:lineRule="auto"/>
              <w:ind w:left="130"/>
            </w:pPr>
            <w:r>
              <w:rPr>
                <w:rFonts w:ascii="Calibri" w:cs="Calibri" w:eastAsia="Calibri" w:hAnsi="Calibri"/>
                <w:color w:val="8BAECB"/>
                <w:sz w:val="14"/>
                <w:szCs w:val="14"/>
              </w:rPr>
              <w:t xml:space="preserve">&amp; Intl. Studies</w:t>
            </w:r>
          </w:p>
          <w:p>
            <w:pPr>
              <w:spacing w:after="32" w:before="0" w:line="248" w:lineRule="auto"/>
              <w:ind w:left="130"/>
            </w:pPr>
            <w:r>
              <w:rPr>
                <w:rFonts w:ascii="Calibri" w:cs="Calibri" w:eastAsia="Calibri" w:hAnsi="Calibri"/>
                <w:i/>
                <w:iCs/>
                <w:color w:val="8BAECB"/>
                <w:sz w:val="13"/>
                <w:szCs w:val="13"/>
              </w:rPr>
              <w:t xml:space="preserve">GPA 4.06/4.5  ·  Scholarship</w:t>
            </w:r>
          </w:p>
          <w:p>
            <w:pPr>
              <w:spacing w:after="60" w:before="140" w:line="240" w:lineRule="auto"/>
            </w:pPr>
            <w:r>
              <w:rPr>
                <w:rFonts w:ascii="Calibri" w:cs="Calibri" w:eastAsia="Calibri" w:hAnsi="Calibri"/>
                <w:b/>
                <w:bCs/>
                <w:color w:val="8BAECB"/>
                <w:spacing w:val="22"/>
                <w:sz w:val="13"/>
                <w:szCs w:val="13"/>
              </w:rPr>
              <w:t xml:space="preserve">OPEN TO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5"/>
                <w:szCs w:val="15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5"/>
                <w:szCs w:val="15"/>
              </w:rPr>
              <w:t xml:space="preserve">Strategic Biz Development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5"/>
                <w:szCs w:val="15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5"/>
                <w:szCs w:val="15"/>
              </w:rPr>
              <w:t xml:space="preserve">Business Planning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5"/>
                <w:szCs w:val="15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5"/>
                <w:szCs w:val="15"/>
              </w:rPr>
              <w:t xml:space="preserve">Project Management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5"/>
                <w:szCs w:val="15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5"/>
                <w:szCs w:val="15"/>
              </w:rPr>
              <w:t xml:space="preserve">Overseas Sales</w:t>
            </w:r>
          </w:p>
          <w:p>
            <w:pPr>
              <w:spacing w:after="68" w:before="0" w:line="260" w:lineRule="auto"/>
              <w:ind w:left="130" w:hanging="100"/>
            </w:pPr>
            <w:r>
              <w:rPr>
                <w:rFonts w:ascii="Calibri" w:cs="Calibri" w:eastAsia="Calibri" w:hAnsi="Calibri"/>
                <w:color w:val="B5D4F4"/>
                <w:sz w:val="15"/>
                <w:szCs w:val="15"/>
              </w:rPr>
              <w:t xml:space="preserve">· </w:t>
            </w:r>
            <w:r>
              <w:rPr>
                <w:rFonts w:ascii="Calibri" w:cs="Calibri" w:eastAsia="Calibri" w:hAnsi="Calibri"/>
                <w:color w:val="FFFFFF"/>
                <w:spacing w:val="3"/>
                <w:sz w:val="15"/>
                <w:szCs w:val="15"/>
              </w:rPr>
              <w:t xml:space="preserve">Materials &amp; Chemicals</w:t>
            </w:r>
          </w:p>
        </w:tc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60"/>
              <w:left w:type="dxa" w:w="310"/>
              <w:bottom w:type="dxa" w:w="360"/>
              <w:right w:type="dxa" w:w="270"/>
            </w:tcMar>
            <w:vAlign w:val="top"/>
          </w:tcPr>
          <w:p>
            <w:pPr>
              <w:pBdr>
                <w:bottom w:val="single" w:color="1B3A5C" w:sz="10" w:space="3"/>
              </w:pBdr>
              <w:spacing w:after="26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B3A5C"/>
                <w:spacing w:val="8"/>
                <w:sz w:val="44"/>
                <w:szCs w:val="44"/>
              </w:rPr>
              <w:t xml:space="preserve">Seokjin Hong</w:t>
            </w:r>
          </w:p>
          <w:p>
            <w:pPr>
              <w:spacing w:after="0" w:before="52" w:line="240" w:lineRule="auto"/>
            </w:pPr>
            <w:r>
              <w:rPr>
                <w:rFonts w:ascii="Calibri" w:cs="Calibri" w:eastAsia="Calibri" w:hAnsi="Calibri"/>
                <w:i/>
                <w:iCs/>
                <w:color w:val="2E6DA4"/>
                <w:spacing w:val="5"/>
                <w:sz w:val="19"/>
                <w:szCs w:val="19"/>
              </w:rPr>
              <w:t xml:space="preserve">Overseas Sales Representative  ·  PPG &amp; Polyol  ·  Asia-Pacific &amp; Europe</w:t>
            </w:r>
          </w:p>
          <w:p>
            <w:pPr>
              <w:pBdr>
                <w:bottom w:val="single" w:color="B5D4F4" w:sz="4" w:space="2"/>
              </w:pBdr>
              <w:spacing w:after="70" w:before="160" w:line="240" w:lineRule="auto"/>
            </w:pPr>
            <w:r>
              <w:rPr>
                <w:rFonts w:ascii="Calibri" w:cs="Calibri" w:eastAsia="Calibri" w:hAnsi="Calibri"/>
                <w:b/>
                <w:bCs/>
                <w:color w:val="2E6DA4"/>
                <w:spacing w:val="16"/>
                <w:sz w:val="17"/>
                <w:szCs w:val="17"/>
              </w:rPr>
              <w:t xml:space="preserve">PROFESSIONAL SUMMARY</w:t>
            </w:r>
          </w:p>
          <w:p>
            <w:pPr>
              <w:spacing w:after="110" w:before="0" w:line="296" w:lineRule="auto"/>
            </w:pP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Market intelligence and commercial strategy professional at Kumho Petrochemical — managing B2B sales and PPG pricing strategy across Asia-Pacific and European markets. Translates customs trade data and competitive analysis into pricing decisions that balance margin targets with market penetration. I take a structured, data-first approach to problem-solving: building from numbers toward decisions. Alongside full-time work, building </w:t>
            </w: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BOOK ME UP (BMU)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, a calendar-based social scheduling app, as Project Manager.</w:t>
            </w:r>
          </w:p>
          <w:p>
            <w:pPr>
              <w:pBdr>
                <w:bottom w:val="single" w:color="B5D4F4" w:sz="4" w:space="2"/>
              </w:pBdr>
              <w:spacing w:after="70" w:before="160" w:line="240" w:lineRule="auto"/>
            </w:pPr>
            <w:r>
              <w:rPr>
                <w:rFonts w:ascii="Calibri" w:cs="Calibri" w:eastAsia="Calibri" w:hAnsi="Calibri"/>
                <w:b/>
                <w:bCs/>
                <w:color w:val="2E6DA4"/>
                <w:spacing w:val="16"/>
                <w:sz w:val="17"/>
                <w:szCs w:val="17"/>
              </w:rPr>
              <w:t xml:space="preserve">PROFESSIONAL EXPERIENCE</w:t>
            </w:r>
          </w:p>
          <w:p>
            <w:pPr>
              <w:spacing w:after="26" w:before="88" w:line="248" w:lineRule="auto"/>
            </w:pPr>
            <w:r>
              <w:rPr>
                <w:rFonts w:ascii="Calibri" w:cs="Calibri" w:eastAsia="Calibri" w:hAnsi="Calibri"/>
                <w:b/>
                <w:bCs/>
                <w:color w:val="2D2D2D"/>
                <w:spacing w:val="3"/>
                <w:sz w:val="20"/>
                <w:szCs w:val="20"/>
              </w:rPr>
              <w:t xml:space="preserve">Kumho Petrochemical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   Jan 2024 – Present</w:t>
            </w:r>
          </w:p>
          <w:p>
            <w:pPr>
              <w:spacing w:after="68" w:before="0" w:line="248" w:lineRule="auto"/>
            </w:pPr>
            <w:r>
              <w:rPr>
                <w:rFonts w:ascii="Calibri" w:cs="Calibri" w:eastAsia="Calibri" w:hAnsi="Calibri"/>
                <w:i/>
                <w:iCs/>
                <w:color w:val="2E6DA4"/>
                <w:spacing w:val="3"/>
                <w:sz w:val="17"/>
                <w:szCs w:val="17"/>
              </w:rPr>
              <w:t xml:space="preserve">Overseas Sales Representative, PPG Sales Team</w:t>
            </w:r>
          </w:p>
          <w:p>
            <w:pPr>
              <w:spacing w:after="72" w:before="0" w:line="276" w:lineRule="auto"/>
              <w:ind w:left="180" w:hanging="14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· 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Designed and optimized PPG pricing strategy through competitive benchmarking, cost structure assessment, and monthly demand forecasting — balancing revenue maximization with market penetration while maintaining margin targets.</w:t>
            </w:r>
          </w:p>
          <w:p>
            <w:pPr>
              <w:spacing w:after="72" w:before="0" w:line="276" w:lineRule="auto"/>
              <w:ind w:left="180" w:hanging="14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· 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Monitored Ethylene Oxide (EO) and Propylene Oxide (PO) raw material price fluctuations across Asia-Pacific and European markets to inform pricing decisions and manage input cost exposure.</w:t>
            </w:r>
          </w:p>
          <w:p>
            <w:pPr>
              <w:spacing w:after="72" w:before="0" w:line="276" w:lineRule="auto"/>
              <w:ind w:left="180" w:hanging="14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· 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Pre-processed, refined, and analyzed customs trade data to surface competitor positioning shifts, emerging market patterns, and trade policy impacts.</w:t>
            </w:r>
          </w:p>
          <w:p>
            <w:pPr>
              <w:spacing w:after="72" w:before="0" w:line="276" w:lineRule="auto"/>
              <w:ind w:left="180" w:hanging="14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· 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Compiled estimated P&amp;L statements and coordinated inter-departmental meetings across R&amp;D, Sales, and Production teams.</w:t>
            </w:r>
          </w:p>
          <w:p>
            <w:pPr>
              <w:spacing w:after="72" w:before="0" w:line="276" w:lineRule="auto"/>
              <w:ind w:left="180" w:hanging="14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· 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Tracked anti-dumping policy developments and import/export trends relevant to the PPG market.</w:t>
            </w:r>
          </w:p>
          <w:p>
            <w:pPr>
              <w:spacing w:after="60" w:before="0"/>
            </w:pPr>
          </w:p>
          <w:p>
            <w:pPr>
              <w:spacing w:after="26" w:before="88" w:line="248" w:lineRule="auto"/>
            </w:pPr>
            <w:r>
              <w:rPr>
                <w:rFonts w:ascii="Calibri" w:cs="Calibri" w:eastAsia="Calibri" w:hAnsi="Calibri"/>
                <w:b/>
                <w:bCs/>
                <w:color w:val="2D2D2D"/>
                <w:spacing w:val="3"/>
                <w:sz w:val="20"/>
                <w:szCs w:val="20"/>
              </w:rPr>
              <w:t xml:space="preserve">Hanjin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   Jan 2023 – Sep 2023</w:t>
            </w:r>
          </w:p>
          <w:p>
            <w:pPr>
              <w:spacing w:after="68" w:before="0" w:line="248" w:lineRule="auto"/>
            </w:pPr>
            <w:r>
              <w:rPr>
                <w:rFonts w:ascii="Calibri" w:cs="Calibri" w:eastAsia="Calibri" w:hAnsi="Calibri"/>
                <w:i/>
                <w:iCs/>
                <w:color w:val="2E6DA4"/>
                <w:spacing w:val="3"/>
                <w:sz w:val="17"/>
                <w:szCs w:val="17"/>
              </w:rPr>
              <w:t xml:space="preserve">Operation Associate</w:t>
            </w:r>
          </w:p>
          <w:p>
            <w:pPr>
              <w:spacing w:after="72" w:before="0" w:line="276" w:lineRule="auto"/>
              <w:ind w:left="180" w:hanging="14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· 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Managed inbound international shipments, ensuring timely arrival and efficient domestic distribution, while administering Amazon SLA compliance.</w:t>
            </w:r>
          </w:p>
          <w:p>
            <w:pPr>
              <w:spacing w:after="72" w:before="0" w:line="276" w:lineRule="auto"/>
              <w:ind w:left="180" w:hanging="14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· 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Oversaw on-site field operations and facilitated multilingual communication across a cross-border stakeholder environment.</w:t>
            </w:r>
          </w:p>
          <w:p>
            <w:pPr>
              <w:pBdr>
                <w:bottom w:val="single" w:color="B5D4F4" w:sz="4" w:space="2"/>
              </w:pBdr>
              <w:spacing w:after="70" w:before="160" w:line="240" w:lineRule="auto"/>
            </w:pPr>
            <w:r>
              <w:rPr>
                <w:rFonts w:ascii="Calibri" w:cs="Calibri" w:eastAsia="Calibri" w:hAnsi="Calibri"/>
                <w:b/>
                <w:bCs/>
                <w:color w:val="2E6DA4"/>
                <w:spacing w:val="16"/>
                <w:sz w:val="17"/>
                <w:szCs w:val="17"/>
              </w:rPr>
              <w:t xml:space="preserve">PROJECTS</w:t>
            </w:r>
          </w:p>
          <w:p>
            <w:pPr>
              <w:spacing w:after="26" w:before="88" w:line="248" w:lineRule="auto"/>
            </w:pPr>
            <w:r>
              <w:rPr>
                <w:rFonts w:ascii="Calibri" w:cs="Calibri" w:eastAsia="Calibri" w:hAnsi="Calibri"/>
                <w:b/>
                <w:bCs/>
                <w:color w:val="2D2D2D"/>
                <w:spacing w:val="3"/>
                <w:sz w:val="20"/>
                <w:szCs w:val="20"/>
              </w:rPr>
              <w:t xml:space="preserve">BOOK ME UP (BMU)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   2024 – Present</w:t>
            </w:r>
          </w:p>
          <w:p>
            <w:pPr>
              <w:spacing w:after="68" w:before="0" w:line="248" w:lineRule="auto"/>
            </w:pPr>
            <w:r>
              <w:rPr>
                <w:rFonts w:ascii="Calibri" w:cs="Calibri" w:eastAsia="Calibri" w:hAnsi="Calibri"/>
                <w:i/>
                <w:iCs/>
                <w:color w:val="2E6DA4"/>
                <w:spacing w:val="3"/>
                <w:sz w:val="17"/>
                <w:szCs w:val="17"/>
              </w:rPr>
              <w:t xml:space="preserve">Project Manager &amp; Product Planning Lead  ·  Side Project (alongside full-time role)</w:t>
            </w:r>
          </w:p>
          <w:p>
            <w:pPr>
              <w:spacing w:after="72" w:before="0" w:line="276" w:lineRule="auto"/>
              <w:ind w:left="180" w:hanging="14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· 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Developing a calendar-based social scheduling app that eliminates the repetitive 'when are you free?' exchange — enabling users to find shared availability through a shared calendar view rather than open-ended messages.</w:t>
            </w:r>
          </w:p>
          <w:p>
            <w:pPr>
              <w:spacing w:after="72" w:before="0" w:line="276" w:lineRule="auto"/>
              <w:ind w:left="180" w:hanging="14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· 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Managing end-to-end project execution: product concept definition, feature scoping, UX direction, privacy &amp; security review, and beta testing preparation.</w:t>
            </w:r>
          </w:p>
          <w:p>
            <w:pPr>
              <w:spacing w:after="72" w:before="0" w:line="276" w:lineRule="auto"/>
              <w:ind w:left="180" w:hanging="14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9"/>
                <w:szCs w:val="19"/>
              </w:rPr>
              <w:t xml:space="preserve">· </w:t>
            </w: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Applying structured problem-framing and project management discipline developed through international business to a consumer product context.</w:t>
            </w:r>
          </w:p>
          <w:p>
            <w:pPr>
              <w:pBdr>
                <w:bottom w:val="single" w:color="B5D4F4" w:sz="4" w:space="2"/>
              </w:pBdr>
              <w:spacing w:after="70" w:before="160" w:line="240" w:lineRule="auto"/>
            </w:pPr>
            <w:r>
              <w:rPr>
                <w:rFonts w:ascii="Calibri" w:cs="Calibri" w:eastAsia="Calibri" w:hAnsi="Calibri"/>
                <w:b/>
                <w:bCs/>
                <w:color w:val="2E6DA4"/>
                <w:spacing w:val="16"/>
                <w:sz w:val="17"/>
                <w:szCs w:val="17"/>
              </w:rPr>
              <w:t xml:space="preserve">CERTIFICATIONS</w:t>
            </w:r>
          </w:p>
          <w:p>
            <w:pPr>
              <w:spacing w:after="50" w:before="50" w:line="248" w:lineRule="auto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International Trade Specialist  Lv.1</w:t>
            </w: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Trade English Certificate  Lv.1</w:t>
            </w: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Foreign Exchange Specialist  Lv.2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i/>
                <w:iCs/>
                <w:color w:val="2E6DA4"/>
                <w:sz w:val="15"/>
                <w:szCs w:val="15"/>
              </w:rPr>
              <w:t xml:space="preserve">All issued in Korea  ·  KITA (Trade Specialist &amp; Trade English)  ·  KOFIA (Foreign Exchange Specialist)</w:t>
            </w:r>
          </w:p>
          <w:p>
            <w:pPr>
              <w:pBdr>
                <w:bottom w:val="single" w:color="B5D4F4" w:sz="4" w:space="2"/>
              </w:pBdr>
              <w:spacing w:after="70" w:before="160" w:line="240" w:lineRule="auto"/>
            </w:pPr>
            <w:r>
              <w:rPr>
                <w:rFonts w:ascii="Calibri" w:cs="Calibri" w:eastAsia="Calibri" w:hAnsi="Calibri"/>
                <w:b/>
                <w:bCs/>
                <w:color w:val="2E6DA4"/>
                <w:spacing w:val="16"/>
                <w:sz w:val="17"/>
                <w:szCs w:val="17"/>
              </w:rPr>
              <w:t xml:space="preserve">PUBLICATION</w:t>
            </w:r>
          </w:p>
          <w:p>
            <w:pPr>
              <w:spacing w:after="32" w:before="50" w:line="284" w:lineRule="auto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D2D2D"/>
                <w:sz w:val="18"/>
                <w:szCs w:val="18"/>
              </w:rPr>
              <w:t xml:space="preserve">"Implications of the Shifting Indian Defense Market for Korea: Focusing on Indo-Russia Relations"</w:t>
            </w:r>
            <w:r>
              <w:rPr>
                <w:rFonts w:ascii="Calibri" w:cs="Calibri" w:eastAsia="Calibri" w:hAnsi="Calibri"/>
                <w:i/>
                <w:iCs/>
                <w:color w:val="2E6DA4"/>
                <w:sz w:val="15"/>
                <w:szCs w:val="15"/>
              </w:rPr>
              <w:t xml:space="preserve">   First Author  ·  May 2021</w:t>
            </w:r>
          </w:p>
          <w:p>
            <w:pPr>
              <w:spacing w:after="0" w:before="0" w:line="276" w:lineRule="auto"/>
            </w:pPr>
            <w:r>
              <w:rPr>
                <w:rFonts w:ascii="Calibri" w:cs="Calibri" w:eastAsia="Calibri" w:hAnsi="Calibri"/>
                <w:color w:val="555555"/>
                <w:spacing w:val="3"/>
                <w:sz w:val="19"/>
                <w:szCs w:val="19"/>
              </w:rPr>
              <w:t xml:space="preserve">Explored how South Korean defense firms benchmarked Russia's approach to enter the Indian market, with a comprehensive analysis of defense capabilities and policies across India, Russia, and South Korea.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2f648a3bf2d9b6be7caf1be04b2bab6532ec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2026-05-31T07:02:24.016Z</dcterms:created>
  <dcterms:modified xsi:type="dcterms:W3CDTF">2026-05-31T07:02:24.016Z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