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0B5CAD"/>
          <w:spacing w:val="40"/>
          <w:sz w:val="18"/>
          <w:szCs w:val="18"/>
        </w:rPr>
        <w:t xml:space="preserve">BRIEFING</w:t>
      </w:r>
    </w:p>
    <w:p>
      <w:pPr>
        <w:pStyle w:val="Title"/>
        <w:pBdr>
          <w:left w:val="single" w:color="0B5CAD" w:sz="36" w:space="12"/>
        </w:pBdr>
        <w:spacing w:after="80"/>
        <w:jc w:val="left"/>
      </w:pPr>
      <w:r>
        <w:t xml:space="preserve">Voltage Division in Series Resistor Networks</w:t>
      </w:r>
    </w:p>
    <w:p>
      <w:pPr>
        <w:spacing w:after="160"/>
        <w:jc w:val="left"/>
      </w:pPr>
      <w:r>
        <w:rPr>
          <w:rFonts w:ascii="Calibri" w:cs="Calibri" w:eastAsia="Calibri" w:hAnsi="Calibri"/>
          <w:i w:val="false"/>
          <w:iCs w:val="false"/>
          <w:color w:val="444444"/>
          <w:sz w:val="26"/>
          <w:szCs w:val="26"/>
        </w:rPr>
        <w:t xml:space="preserve">A worked analysis</w:t>
      </w:r>
    </w:p>
    <w:p>
      <w:pPr>
        <w:spacing w:after="240"/>
        <w:jc w:val="left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Mowr  ·  10 October 2026</w:t>
      </w:r>
    </w:p>
    <w:tbl>
      <w:tblPr>
        <w:tblW w:type="dxa" w:w="8730"/>
        <w:tblBorders>
          <w:top w:val="none" w:color="FFFFFF" w:sz="0"/>
          <w:left w:val="single" w:color="0B5CAD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30"/>
      </w:tblGrid>
      <w:tr>
        <w:tc>
          <w:tcPr>
            <w:tcW w:type="dxa" w:w="8730"/>
            <w:shd w:fill="EBF2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  <w:spacing w:after="80" w:before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5CAD"/>
                <w:sz w:val="22"/>
                <w:szCs w:val="22"/>
              </w:rPr>
              <w:t xml:space="preserve">Executive summary</w:t>
            </w:r>
          </w:p>
          <w:p>
            <w:pPr>
              <w:spacing w:after="120" w:line="341"/>
              <w:jc w:val="left"/>
            </w:pPr>
            <w:r>
              <w:t xml:space="preserve">This report derives the voltage divider relation, verifies it on a 12 V network and discusses loading effects.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bookmarkStart w:name="sec1" w:id="1"/>
      <w:r>
        <w:t xml:space="preserve">1  Introduction</w:t>
      </w:r>
      <w:bookmarkEnd w:id="1"/>
    </w:p>
    <w:p>
      <w:pPr>
        <w:spacing w:after="120" w:line="341"/>
        <w:jc w:val="left"/>
      </w:pPr>
      <w:r>
        <w:t xml:space="preserve">Series resistors share the source voltage in proportion to their resistance [1]. The circuit in Figure 1 is analysed throughout.</w:t>
      </w:r>
    </w:p>
    <w:p>
      <w:pPr>
        <w:pStyle w:val="ListParagraph"/>
        <w:numPr>
          <w:ilvl w:val="0"/>
          <w:numId w:val="2"/>
        </w:numPr>
        <w:spacing w:after="60" w:line="341"/>
      </w:pPr>
      <w:r>
        <w:t xml:space="preserve">Ohm's law applies to each resistor.</w:t>
      </w:r>
    </w:p>
    <w:p>
      <w:pPr>
        <w:pStyle w:val="ListParagraph"/>
        <w:numPr>
          <w:ilvl w:val="0"/>
          <w:numId w:val="2"/>
        </w:numPr>
        <w:spacing w:after="60" w:line="341"/>
      </w:pPr>
      <w:r>
        <w:t xml:space="preserve">Kirchhoff's voltage law closes the loop.</w:t>
      </w:r>
    </w:p>
    <w:p>
      <w:pPr>
        <w:pStyle w:val="ListParagraph"/>
        <w:numPr>
          <w:ilvl w:val="1"/>
          <w:numId w:val="2"/>
        </w:numPr>
        <w:spacing w:after="60" w:line="341"/>
      </w:pPr>
      <w:r>
        <w:t xml:space="preserve">Nested point one.</w:t>
      </w:r>
    </w:p>
    <w:p>
      <w:pPr>
        <w:pStyle w:val="ListParagraph"/>
        <w:numPr>
          <w:ilvl w:val="0"/>
          <w:numId w:val="3"/>
        </w:numPr>
        <w:spacing w:after="60" w:line="341"/>
      </w:pPr>
      <w:r>
        <w:t xml:space="preserve">Measure the source.</w:t>
      </w:r>
    </w:p>
    <w:p>
      <w:pPr>
        <w:pStyle w:val="ListParagraph"/>
        <w:numPr>
          <w:ilvl w:val="0"/>
          <w:numId w:val="3"/>
        </w:numPr>
        <w:spacing w:after="60" w:line="341"/>
      </w:pPr>
      <w:r>
        <w:t xml:space="preserve">Compute the current.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43550" cy="4038600"/>
            <wp:effectExtent t="0" r="0" b="0" l="0"/>
            <wp:docPr id="1" name="Figure 1" descr="A 12 V source driving $R_1$ and $R_2$ in series." title="A 12 V source driving $R_1$ and $R_2$ in se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200" w:before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Figure 1. </w:t>
      </w:r>
      <w:r>
        <w:t xml:space="preserve">A 12 V source driving </w:t>
      </w:r>
      <m:oMath>
        <m:sSub>
          <m:sSubPr/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and </w:t>
      </w:r>
      <m:oMath>
        <m:sSub>
          <m:sSubPr/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in series.</w:t>
      </w:r>
    </w:p>
    <w:p>
      <w:pPr>
        <w:pStyle w:val="Heading1"/>
        <w:keepNext/>
      </w:pPr>
      <w:bookmarkStart w:name="sec2" w:id="1"/>
      <w:r>
        <w:t xml:space="preserve">2  Theory</w:t>
      </w:r>
      <w:bookmarkEnd w:id="1"/>
    </w:p>
    <w:p>
      <w:pPr>
        <w:spacing w:after="120" w:line="341"/>
        <w:jc w:val="left"/>
      </w:pPr>
      <w:r>
        <w:t xml:space="preserve">The current is </w:t>
      </w:r>
      <m:oMath>
        <m:r>
          <m:t>I</m:t>
        </m:r>
        <m:r>
          <m:t>=</m:t>
        </m:r>
        <m:f>
          <m:num>
            <m:r>
              <m:t>V</m:t>
            </m:r>
          </m:num>
          <m:den>
            <m:sSub>
              <m:sSubPr/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sSubPr/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, so the voltage across </w:t>
      </w:r>
      <m:oMath>
        <m:sSub>
          <m:sSubPr/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is</w:t>
      </w:r>
    </w:p>
    <w:p>
      <w:pPr>
        <w:spacing w:after="120" w:before="120"/>
        <w:jc w:val="center"/>
      </w:pPr>
      <m:oMath>
        <m:sSub>
          <m:sSubPr/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V</m:t>
        </m:r>
        <m:f>
          <m:num>
            <m:sSub>
              <m:sSubPr/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sSub>
              <m:sSubPr/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sSubPr/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</w:p>
    <w:tbl>
      <w:tblPr>
        <w:tblW w:type="dxa" w:w="8730"/>
        <w:tblBorders>
          <w:top w:val="none" w:color="FFFFFF" w:sz="0"/>
          <w:left w:val="single" w:color="0B5CAD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30"/>
      </w:tblGrid>
      <w:tr>
        <w:trPr>
          <w:cantSplit w:val="false"/>
        </w:trPr>
        <w:tc>
          <w:tcPr>
            <w:tcW w:type="dxa" w:w="8730"/>
            <w:shd w:fill="EEF4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80" w:line="341"/>
            </w:pPr>
            <w:r>
              <w:rPr>
                <w:rFonts w:ascii="Calibri" w:cs="Calibri" w:eastAsia="Calibri" w:hAnsi="Calibri"/>
                <w:b/>
                <w:bCs/>
                <w:color w:val="0B5CAD"/>
              </w:rPr>
              <w:t xml:space="preserve">Definition 2.1</w:t>
            </w:r>
            <w:r>
              <w:rPr>
                <w:rFonts w:ascii="Calibri" w:cs="Calibri" w:eastAsia="Calibri" w:hAnsi="Calibri"/>
                <w:b/>
                <w:bCs/>
              </w:rPr>
              <w:t xml:space="preserve"> (Voltage divider)</w:t>
            </w:r>
            <w:r>
              <w:t xml:space="preserve">. </w:t>
            </w:r>
            <w:r>
              <w:t xml:space="preserve">A network of series impedances whose output is a fixed fraction of its input.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2.1  Energy view</w:t>
      </w:r>
    </w:p>
    <w:p>
      <w:pPr>
        <w:spacing w:after="120" w:line="341"/>
        <w:jc w:val="left"/>
      </w:pPr>
      <w:r>
        <w:t xml:space="preserve">The power is </w:t>
      </w:r>
      <m:oMath>
        <m:r>
          <m:t>P</m:t>
        </m:r>
        <m:r>
          <m:t>=</m:t>
        </m:r>
        <m:nary>
          <m:naryPr>
            <m:chr m:val="∑"/>
            <m:limLoc m:val="undOvr"/>
          </m:naryPr>
          <m:sub>
            <m:r>
              <m:t>k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sSupPr/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  <m:sSub>
          <m:sSubPr/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and the matrix form is</w:t>
      </w:r>
    </w:p>
    <w:p>
      <w:pPr>
        <w:spacing w:after="120" w:before="120"/>
        <w:jc w:val="center"/>
      </w:pPr>
      <w:r>
        <w:drawing>
          <wp:inline distT="0" distB="0" distL="0" distR="0">
            <wp:extent cx="809625" cy="523875"/>
            <wp:effectExtent t="0" r="0" b="0" l="0"/>
            <wp:docPr id="1" name="Equation" descr="\begin{pmatrix}1&amp;2\\3&amp;4\end{pmatrix}" title="\begin{pmatrix}1&amp;2\\3&amp;4\end{pmatrix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60" w:before="1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1. </w:t>
      </w:r>
      <w:r>
        <w:t xml:space="preserve">Measured and predicted voltages</w:t>
      </w:r>
    </w:p>
    <w:tbl>
      <w:tblPr>
        <w:tblW w:type="dxa" w:w="8730"/>
        <w:tblBorders>
          <w:top w:val="single" w:color="0B5CAD" w:sz="4"/>
          <w:left w:val="none" w:color="FFFFFF" w:sz="0"/>
          <w:bottom w:val="single" w:color="0B5CAD" w:sz="4"/>
          <w:right w:val="none" w:color="FFFFFF" w:sz="0"/>
          <w:insideH w:val="single" w:color="D9DCE0" w:sz="2"/>
          <w:insideV w:val="none" w:color="FFFFFF" w:sz="0"/>
        </w:tblBorders>
        <w:tblLayout w:type="fixed"/>
      </w:tblPr>
      <w:tblGrid>
        <w:gridCol w:w="2116"/>
        <w:gridCol w:w="3439"/>
        <w:gridCol w:w="3175"/>
      </w:tblGrid>
      <w:tr>
        <w:trPr>
          <w:cantSplit/>
          <w:tblHeader/>
        </w:trPr>
        <w:tc>
          <w:tcPr>
            <w:tcW w:type="dxa" w:w="2116"/>
            <w:shd w:fill="0B5C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Resistor</w:t>
            </w:r>
          </w:p>
        </w:tc>
        <w:tc>
          <w:tcPr>
            <w:tcW w:type="dxa" w:w="3439"/>
            <w:shd w:fill="0B5C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Predicted (V)</w:t>
            </w:r>
          </w:p>
        </w:tc>
        <w:tc>
          <w:tcPr>
            <w:tcW w:type="dxa" w:w="3175"/>
            <w:shd w:fill="0B5CA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Measured (V)</w:t>
            </w:r>
          </w:p>
        </w:tc>
      </w:tr>
      <w:tr>
        <w:trPr>
          <w:cantSplit/>
          <w:tblHeader w:val="false"/>
        </w:trPr>
        <w:tc>
          <w:tcPr>
            <w:tcW w:type="dxa" w:w="21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t xml:space="preserve">R1</w:t>
            </w:r>
          </w:p>
        </w:tc>
        <w:tc>
          <w:tcPr>
            <w:tcW w:type="dxa" w:w="34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t xml:space="preserve">4.00</w:t>
            </w:r>
          </w:p>
        </w:tc>
        <w:tc>
          <w:tcPr>
            <w:tcW w:type="dxa" w:w="31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t xml:space="preserve">3.98</w:t>
            </w:r>
          </w:p>
        </w:tc>
      </w:tr>
      <w:tr>
        <w:trPr>
          <w:cantSplit/>
          <w:tblHeader w:val="false"/>
        </w:trPr>
        <w:tc>
          <w:tcPr>
            <w:tcW w:type="dxa" w:w="2116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t xml:space="preserve">R2</w:t>
            </w:r>
          </w:p>
        </w:tc>
        <w:tc>
          <w:tcPr>
            <w:tcW w:type="dxa" w:w="3439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t xml:space="preserve">8.00</w:t>
            </w:r>
          </w:p>
        </w:tc>
        <w:tc>
          <w:tcPr>
            <w:tcW w:type="dxa" w:w="3175"/>
            <w:shd w:fill="F5F7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t xml:space="preserve">8.01</w:t>
            </w:r>
          </w:p>
        </w:tc>
      </w:tr>
    </w:tbl>
    <w:p>
      <w:pPr>
        <w:spacing w:after="120"/>
      </w:pPr>
    </w:p>
    <w:p>
      <w:pPr>
        <w:spacing w:after="120" w:line="341"/>
        <w:jc w:val="left"/>
      </w:pPr>
      <w:r>
        <w:t xml:space="preserve">A footnote appears here.</w:t>
      </w:r>
      <w:r>
        <w:rPr>
          <w:rStyle w:val="FootnoteReference"/>
        </w:rPr>
        <w:footnoteReference w:id="1"/>
      </w:r>
    </w:p>
    <w:p>
      <w:pPr>
        <w:pStyle w:val="Heading1"/>
        <w:keepNext/>
      </w:pPr>
      <w:bookmarkStart w:name="sec3" w:id="1"/>
      <w:r>
        <w:t xml:space="preserve">3  Worked example</w:t>
      </w:r>
      <w:bookmarkEnd w:id="1"/>
    </w:p>
    <w:p>
      <w:pPr>
        <w:spacing w:after="120" w:line="341"/>
        <w:jc w:val="left"/>
      </w:pPr>
      <w:r>
        <w:t xml:space="preserve">Charging a capacitor stores energy, much as </w:t>
      </w:r>
      <w:r>
        <w:drawing>
          <wp:inline distT="0" distB="0" distL="0" distR="0">
            <wp:extent cx="2486025" cy="295275"/>
            <wp:effectExtent t="0" r="0" b="0" l="0"/>
            <wp:docPr id="1" name="Equation" descr="6CO_2 + 6H_2O \xrightarrow{\text{light}} C_6H_{12}O_6 + 6O_2" title="6CO_2 + 6H_2O \xrightarrow{\text{light}} C_6H_{12}O_6 + 6O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stores it in sugar; inline, water is </w:t>
      </w:r>
      <m:oMath>
        <m:sSub>
          <m:sSubPr/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t xml:space="preserve"> and the vector is </w:t>
      </w:r>
      <m:oMath>
        <m:limUpp>
          <m:e>
            <m:r>
              <m:t>A</m:t>
            </m:r>
            <m:r>
              <m:t>B</m:t>
            </m:r>
          </m:e>
          <m:lim>
            <m:r>
              <m:t>→</m:t>
            </m:r>
          </m:lim>
        </m:limUpp>
      </m:oMath>
      <w:r>
        <w:t xml:space="preserve">.</w:t>
      </w:r>
    </w:p>
    <w:p>
      <w:pPr>
        <w:spacing w:after="120" w:line="341"/>
        <w:jc w:val="left"/>
      </w:pPr>
      <w:r>
        <w:t xml:space="preserve">With </w:t>
      </w:r>
      <m:oMath>
        <m:r>
          <m:t>V</m:t>
        </m:r>
        <m:r>
          <m:t>=</m:t>
        </m:r>
        <m:r>
          <m:t>12</m:t>
        </m:r>
        <m:r>
          <m:rPr>
            <m:sty m:val="p"/>
          </m:rPr>
          <m:t> </m:t>
        </m:r>
        <m:r>
          <m:rPr>
            <m:sty m:val="p"/>
          </m:rPr>
          <m:t>V</m:t>
        </m:r>
      </m:oMath>
      <w:r>
        <w:t xml:space="preserve">, </w:t>
      </w:r>
      <m:oMath>
        <m:sSub>
          <m:sSubPr/>
          <m:e>
            <m:r>
              <m:t>R</m:t>
            </m:r>
          </m:e>
          <m:sub>
            <m:r>
              <m:t>1</m:t>
            </m:r>
          </m:sub>
        </m:sSub>
        <m:r>
          <m:t>=</m:t>
        </m:r>
        <m:r>
          <m:t>100</m:t>
        </m:r>
        <m:r>
          <m:rPr>
            <m:sty m:val="p"/>
          </m:rPr>
          <m:t> </m:t>
        </m:r>
        <m:r>
          <m:rPr>
            <m:sty m:val="p"/>
          </m:rPr>
          <m:t>Ω</m:t>
        </m:r>
      </m:oMath>
      <w:r>
        <w:t xml:space="preserve"> and </w:t>
      </w:r>
      <m:oMath>
        <m:sSub>
          <m:sSubPr/>
          <m:e>
            <m:r>
              <m:t>R</m:t>
            </m:r>
          </m:e>
          <m:sub>
            <m:r>
              <m:t>2</m:t>
            </m:r>
          </m:sub>
        </m:sSub>
        <m:r>
          <m:t>=</m:t>
        </m:r>
        <m:r>
          <m:t>200</m:t>
        </m:r>
        <m:r>
          <m:rPr>
            <m:sty m:val="p"/>
          </m:rPr>
          <m:t> </m:t>
        </m:r>
        <m:r>
          <m:rPr>
            <m:sty m:val="p"/>
          </m:rPr>
          <m:t>Ω</m:t>
        </m:r>
      </m:oMath>
      <w:r>
        <w:t xml:space="preserve">: </w:t>
      </w:r>
      <m:oMath>
        <m:r>
          <m:t>I</m:t>
        </m:r>
        <m:r>
          <m:t>=</m:t>
        </m:r>
        <m:r>
          <m:t>40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</m:oMath>
      <w:r>
        <w:t xml:space="preserve"> and </w:t>
      </w:r>
      <m:oMath>
        <m:sSub>
          <m:sSubPr/>
          <m:e>
            <m:r>
              <m:t>V</m:t>
            </m:r>
          </m:e>
          <m:sub>
            <m:r>
              <m:t>2</m:t>
            </m:r>
          </m:sub>
        </m:sSub>
        <m:r>
          <m:t>=</m:t>
        </m:r>
        <m:r>
          <m:t>8</m:t>
        </m:r>
        <m:r>
          <m:rPr>
            <m:sty m:val="p"/>
          </m:rPr>
          <m:t> </m:t>
        </m:r>
        <m:r>
          <m:rPr>
            <m:sty m:val="p"/>
          </m:rPr>
          <m:t>V</m:t>
        </m:r>
      </m:oMath>
      <w:r>
        <w:t xml:space="preserve">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2771775" cy="4333875"/>
            <wp:effectExtent t="0" r="0" b="0" l="0"/>
            <wp:docPr id="1" name="Figure 2" descr="Analysis procedure." title="Analysis proced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after="200" w:before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Figure 2. </w:t>
      </w:r>
      <w:r>
        <w:t xml:space="preserve">Analysis procedure.</w:t>
      </w:r>
    </w:p>
    <w:p>
      <w:pPr>
        <w:pStyle w:val="Heading1"/>
        <w:keepNext/>
      </w:pPr>
      <w:bookmarkStart w:name="sec4" w:id="1"/>
      <w:r>
        <w:t xml:space="preserve">4  Discussion</w:t>
      </w:r>
      <w:bookmarkEnd w:id="1"/>
    </w:p>
    <w:tbl>
      <w:tblPr>
        <w:tblW w:type="dxa" w:w="8730"/>
        <w:tblBorders>
          <w:top w:val="none" w:color="FFFFFF" w:sz="0"/>
          <w:left w:val="single" w:color="0B5CAD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30"/>
      </w:tblGrid>
      <w:tr>
        <w:trPr>
          <w:cantSplit w:val="false"/>
        </w:trPr>
        <w:tc>
          <w:tcPr>
            <w:tcW w:type="dxa" w:w="8730"/>
            <w:shd w:fill="EEF4F9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80" w:line="341"/>
            </w:pPr>
            <w:r>
              <w:rPr>
                <w:rFonts w:ascii="Calibri" w:cs="Calibri" w:eastAsia="Calibri" w:hAnsi="Calibri"/>
                <w:b/>
                <w:bCs/>
                <w:color w:val="0B5CAD"/>
              </w:rPr>
              <w:t xml:space="preserve">Caution</w:t>
            </w:r>
            <w:r>
              <w:rPr>
                <w:rFonts w:ascii="Calibri" w:cs="Calibri" w:eastAsia="Calibri" w:hAnsi="Calibri"/>
                <w:b/>
                <w:bCs/>
              </w:rPr>
              <w:t xml:space="preserve"> (Loading)</w:t>
            </w:r>
            <w:r>
              <w:t xml:space="preserve">. </w:t>
            </w:r>
            <w:r>
              <w:t xml:space="preserve">A load in parallel with </w:t>
            </w:r>
            <m:oMath>
              <m:sSub>
                <m:sSubPr/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lowers </w:t>
            </w:r>
            <m:oMath>
              <m:sSub>
                <m:sSubPr/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</w:tc>
      </w:tr>
    </w:tbl>
    <w:p>
      <w:pPr>
        <w:spacing w:after="60"/>
      </w:pPr>
    </w:p>
    <w:p>
      <w:pPr>
        <w:spacing w:after="120" w:line="341"/>
        <w:jc w:val="left"/>
      </w:pPr>
      <w:r>
        <w:rPr>
          <w:b/>
          <w:bCs/>
        </w:rPr>
        <w:t xml:space="preserve">Conclusion.</w:t>
      </w:r>
      <w:r>
        <w:t xml:space="preserve"> The divider is exact for an unloaded output.</w:t>
      </w:r>
    </w:p>
    <w:p>
      <w:pPr>
        <w:pStyle w:val="Heading1"/>
        <w:keepNext/>
      </w:pPr>
      <w:r>
        <w:t xml:space="preserve">References</w:t>
      </w:r>
    </w:p>
    <w:p>
      <w:pPr>
        <w:tabs>
          <w:tab w:val="left" w:pos="567"/>
        </w:tabs>
        <w:spacing w:after="80"/>
        <w:ind w:left="567" w:hanging="567"/>
      </w:pPr>
      <w:r>
        <w:t xml:space="preserve">[1]	</w:t>
      </w:r>
      <w:r>
        <w:t xml:space="preserve">Horowitz, P. and Hill, W. </w:t>
      </w:r>
      <w:r>
        <w:rPr>
          <w:i/>
          <w:iCs/>
        </w:rPr>
        <w:t xml:space="preserve">The Art of Electronics</w:t>
      </w:r>
      <w:r>
        <w:t xml:space="preserve">, 3rd ed., 2015.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88" w:right="1588" w:bottom="1588" w:left="1588" w:header="794" w:footer="79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Measurements used a 4½-digit meter.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smallCaps w:val="false"/>
        <w:color w:val="666666"/>
        <w:sz w:val="17"/>
        <w:szCs w:val="17"/>
      </w:rPr>
      <w:t xml:space="preserve">Voltage Division in Series Resistor Networks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◦"/>
      <w:lvlJc w:val="left"/>
      <w:pPr>
        <w:ind w:left="1080" w:hanging="260"/>
      </w:pPr>
    </w:lvl>
    <w:lvl w:ilvl="3" w15:tentative="1">
      <w:start w:val="1"/>
      <w:numFmt w:val="bullet"/>
      <w:lvlText w:val="▪"/>
      <w:lvlJc w:val="left"/>
      <w:pPr>
        <w:ind w:left="1440" w:hanging="260"/>
      </w:pPr>
    </w:lvl>
    <w:lvl w:ilvl="4" w15:tentative="1">
      <w:start w:val="1"/>
      <w:numFmt w:val="bullet"/>
      <w:lvlText w:val="·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."/>
      <w:lvlJc w:val="left"/>
      <w:pPr>
        <w:ind w:left="720" w:hanging="300"/>
      </w:pPr>
    </w:lvl>
    <w:lvl w:ilvl="2" w15:tentative="1">
      <w:start w:val="1"/>
      <w:numFmt w:val="lowerRoman"/>
      <w:lvlText w:val="%3."/>
      <w:lvlJc w:val="left"/>
      <w:pPr>
        <w:ind w:left="1080" w:hanging="300"/>
      </w:pPr>
    </w:lvl>
    <w:lvl w:ilvl="3" w15:tentative="1">
      <w:start w:val="1"/>
      <w:numFmt w:val="decimal"/>
      <w:lvlText w:val="%4."/>
      <w:lvlJc w:val="left"/>
      <w:pPr>
        <w:ind w:left="1440" w:hanging="300"/>
      </w:pPr>
    </w:lvl>
    <w:lvl w:ilvl="4" w15:tentative="1">
      <w:start w:val="1"/>
      <w:numFmt w:val="lowerLetter"/>
      <w:lvlText w:val="%5."/>
      <w:lvlJc w:val="left"/>
      <w:pPr>
        <w:ind w:left="18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line="341"/>
      </w:pPr>
    </w:pPrDefault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B5CAD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0B5CA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0B5CA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i w:val="false"/>
      <w:iCs w:val="false"/>
      <w:color w:val="222222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B5CAD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after="160"/>
    </w:pPr>
    <w:rPr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946999eef932b380f120036b78b5b0216a6a57e.png"/><Relationship Id="rId12" Type="http://schemas.openxmlformats.org/officeDocument/2006/relationships/image" Target="media/0ecc97fd999bbca7bea5558f3d43ebd2a35c0d29.png"/><Relationship Id="rId13" Type="http://schemas.openxmlformats.org/officeDocument/2006/relationships/image" Target="media/b1e7ef9fb5408b2463e26e93abe1a05a77033b3e.png"/><Relationship Id="rId14" Type="http://schemas.openxmlformats.org/officeDocument/2006/relationships/image" Target="media/786bb624cb334a2b321cf8e1961af1179ff85b9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Voltage Division in Series Resistor Networks</dc:title>
  <dc:creator>Mowr</dc:creator>
  <dc:description>A worked analysis</dc:description>
  <cp:lastModifiedBy>Un-named</cp:lastModifiedBy>
  <cp:revision>1</cp:revision>
  <dcterms:created xsi:type="dcterms:W3CDTF">2026-10-10T03:44:52.295Z</dcterms:created>
  <dcterms:modified xsi:type="dcterms:W3CDTF">2026-10-10T03:44:52.295Z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