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 w:cs="Georgia"/>
          <w:b/>
          <w:i w:val="0"/>
          <w:color w:val="1A1C1F"/>
          <w:sz w:val="44"/>
        </w:rPr>
        <w:t>Memorandum</w:t>
      </w:r>
    </w:p>
    <w:p>
      <w:pPr>
        <w:spacing w:after="40"/>
      </w:pPr>
      <w:r>
        <w:rPr>
          <w:rFonts w:ascii="Calibri" w:hAnsi="Calibri" w:eastAsia="Calibri" w:cs="Calibri"/>
          <w:b/>
          <w:i w:val="0"/>
          <w:color w:val="3D4F5F"/>
          <w:sz w:val="22"/>
        </w:rPr>
        <w:t xml:space="preserve">TO:  </w:t>
      </w:r>
      <w:r>
        <w:rPr>
          <w:rFonts w:ascii="Calibri" w:hAnsi="Calibri" w:eastAsia="Calibri" w:cs="Calibri"/>
          <w:b w:val="0"/>
          <w:i w:val="0"/>
          <w:color w:val="1A1C1F"/>
          <w:sz w:val="22"/>
        </w:rPr>
        <w:t>Program leadership / funding sponsor</w:t>
      </w:r>
    </w:p>
    <w:p>
      <w:pPr>
        <w:spacing w:after="40"/>
      </w:pPr>
      <w:r>
        <w:rPr>
          <w:rFonts w:ascii="Calibri" w:hAnsi="Calibri" w:eastAsia="Calibri" w:cs="Calibri"/>
          <w:b/>
          <w:i w:val="0"/>
          <w:color w:val="3D4F5F"/>
          <w:sz w:val="22"/>
        </w:rPr>
        <w:t xml:space="preserve">FROM:  </w:t>
      </w:r>
      <w:r>
        <w:rPr>
          <w:rFonts w:ascii="Calibri" w:hAnsi="Calibri" w:eastAsia="Calibri" w:cs="Calibri"/>
          <w:b w:val="0"/>
          <w:i w:val="0"/>
          <w:color w:val="1A1C1F"/>
          <w:sz w:val="22"/>
        </w:rPr>
        <w:t>Integration / Field Service concept team</w:t>
      </w:r>
    </w:p>
    <w:p>
      <w:pPr>
        <w:spacing w:after="40"/>
      </w:pPr>
      <w:r>
        <w:rPr>
          <w:rFonts w:ascii="Calibri" w:hAnsi="Calibri" w:eastAsia="Calibri" w:cs="Calibri"/>
          <w:b/>
          <w:i w:val="0"/>
          <w:color w:val="3D4F5F"/>
          <w:sz w:val="22"/>
        </w:rPr>
        <w:t xml:space="preserve">DATE:  </w:t>
      </w:r>
      <w:r>
        <w:rPr>
          <w:rFonts w:ascii="Calibri" w:hAnsi="Calibri" w:eastAsia="Calibri" w:cs="Calibri"/>
          <w:b w:val="0"/>
          <w:i w:val="0"/>
          <w:color w:val="1A1C1F"/>
          <w:sz w:val="22"/>
        </w:rPr>
        <w:t>28 August 2026</w:t>
      </w:r>
    </w:p>
    <w:p>
      <w:pPr>
        <w:spacing w:after="40"/>
      </w:pPr>
      <w:r>
        <w:rPr>
          <w:rFonts w:ascii="Calibri" w:hAnsi="Calibri" w:eastAsia="Calibri" w:cs="Calibri"/>
          <w:b/>
          <w:i w:val="0"/>
          <w:color w:val="3D4F5F"/>
          <w:sz w:val="22"/>
        </w:rPr>
        <w:t xml:space="preserve">SUBJECT:  </w:t>
      </w:r>
      <w:r>
        <w:rPr>
          <w:rFonts w:ascii="Calibri" w:hAnsi="Calibri" w:eastAsia="Calibri" w:cs="Calibri"/>
          <w:b w:val="0"/>
          <w:i w:val="0"/>
          <w:color w:val="1A1C1F"/>
          <w:sz w:val="22"/>
        </w:rPr>
        <w:t>Part-time sponsorship to compile a Brain Book (local Nemotron demo)</w:t>
      </w:r>
    </w:p>
    <w:p>
      <w:pPr>
        <w:spacing w:before="160" w:after="200"/>
      </w:pPr>
      <w:r>
        <w:rPr>
          <w:rFonts w:ascii="Calibri" w:hAnsi="Calibri" w:eastAsia="Calibri" w:cs="Calibri"/>
          <w:b w:val="0"/>
          <w:i w:val="0"/>
          <w:color w:val="C9C2B2"/>
          <w:sz w:val="16"/>
        </w:rPr>
        <w:t>————————————————————————————————————</w:t>
      </w:r>
    </w:p>
    <w:p>
      <w:pPr>
        <w:spacing w:after="240" w:before="0" w:line="276" w:lineRule="auto"/>
      </w:pPr>
      <w:r>
        <w:rPr>
          <w:rFonts w:ascii="Calibri" w:hAnsi="Calibri" w:eastAsia="Calibri" w:cs="Calibri"/>
          <w:b w:val="0"/>
          <w:i w:val="0"/>
          <w:color w:val="1A1C1F"/>
          <w:sz w:val="22"/>
        </w:rPr>
        <w:t>We are losing integration knowledge as this aircraft is built. Supplier reports, lab bring-up, tickets, and flight-test logs already describe what healthy and failed look like, but the only extract to the field is a procedure written later by hand. Field Service Representatives will be asked to diagnose from that thin slice, and when 107s (T.O. 00-25-107 assistance requests) start arriving they will reconstruct work the program already paid for. We need a Brain Book compiled now — event dictionary, good-log baselines, and fault signatures — before the people and the logs scatter.</w:t>
      </w:r>
    </w:p>
    <w:p>
      <w:pPr>
        <w:spacing w:after="240" w:before="0" w:line="276" w:lineRule="auto"/>
      </w:pPr>
      <w:r>
        <w:rPr>
          <w:rFonts w:ascii="Calibri" w:hAnsi="Calibri" w:eastAsia="Calibri" w:cs="Calibri"/>
          <w:b w:val="0"/>
          <w:i w:val="0"/>
          <w:color w:val="1A1C1F"/>
          <w:sz w:val="22"/>
        </w:rPr>
        <w:t>We are asking sponsorship for a small part-time team to prove Brain Book generation and FSR-style log triage on one subsystem and one OFP. The demo will ingest source (log/BIT strings), associated documents, tickets, and paired good/bad logs; emit draft signatures and ticket digests; and require a human review stamp before anything is treated as true. When a sample field report plus a log is dropped on that book, the demo will first list missing context, then match signatures and recommend one next check. It will not write official dispositions or command hardware.</w:t>
      </w:r>
    </w:p>
    <w:p>
      <w:pPr>
        <w:spacing w:after="240" w:before="0" w:line="276" w:lineRule="auto"/>
      </w:pPr>
      <w:r>
        <w:rPr>
          <w:rFonts w:ascii="Calibri" w:hAnsi="Calibri" w:eastAsia="Calibri" w:cs="Calibri"/>
          <w:b w:val="0"/>
          <w:i w:val="0"/>
          <w:color w:val="1A1C1F"/>
          <w:sz w:val="22"/>
        </w:rPr>
        <w:t>The stack stays open and local: NVIDIA Nemotron (Nemotron 3.5 Lightning / Nano class, ~30B with ~3B active) served on an existing GPU workstation via Ollama; Open WebUI for the operator; Python decoders and ripgrep for logs and source; Git-backed Markdown/YAML for the book. No cloud tokens, no new platform, no Wiki or observability suite in v1. Nemotron is open-weight, agent-oriented, and small enough to keep source and logs on the box.</w:t>
      </w:r>
    </w:p>
    <w:p>
      <w:pPr>
        <w:spacing w:after="240" w:before="0" w:line="276" w:lineRule="auto"/>
      </w:pPr>
      <w:r>
        <w:rPr>
          <w:rFonts w:ascii="Calibri" w:hAnsi="Calibri" w:eastAsia="Calibri" w:cs="Calibri"/>
          <w:b w:val="0"/>
          <w:i w:val="0"/>
          <w:color w:val="1A1C1F"/>
          <w:sz w:val="22"/>
        </w:rPr>
        <w:t>Ask: two to three people part-time for eight to twelve weeks, one workstation, and access to a bounded corpus (one repo, the ICD/ATP pages, ~20 tickets with logs). Success is ten reviewed signatures that the engineers who chased those problems recognize, plus side-by-side triage of historical cases where the eventual cause appears in the top three after decode. If that holds, the same folder becomes the FSR and 107 front end without a second architecture.</w:t>
      </w:r>
    </w:p>
    <w:p>
      <w:pPr>
        <w:spacing w:before="360" w:after="160"/>
      </w:pPr>
      <w:r>
        <w:rPr>
          <w:rFonts w:ascii="Georgia" w:hAnsi="Georgia" w:eastAsia="Georgia" w:cs="Georgia"/>
          <w:b/>
          <w:i w:val="0"/>
          <w:color w:val="1A1C1F"/>
          <w:sz w:val="28"/>
        </w:rPr>
        <w:t>Proposed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C1F" w:val="clear"/>
            <w:tcBorders>
              <w:top w:val="single" w:sz="4" w:space="0" w:color="1A1C1F"/>
              <w:left w:val="single" w:sz="4" w:space="0" w:color="1A1C1F"/>
              <w:bottom w:val="single" w:sz="4" w:space="0" w:color="1A1C1F"/>
              <w:right w:val="single" w:sz="4" w:space="0" w:color="1A1C1F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3EFE6"/>
                <w:sz w:val="20"/>
              </w:rPr>
              <w:t>Layer</w:t>
            </w:r>
          </w:p>
        </w:tc>
        <w:tc>
          <w:tcPr>
            <w:tcW w:type="dxa" w:w="3024"/>
            <w:shd w:fill="1A1C1F" w:val="clear"/>
            <w:tcBorders>
              <w:top w:val="single" w:sz="4" w:space="0" w:color="1A1C1F"/>
              <w:left w:val="single" w:sz="4" w:space="0" w:color="1A1C1F"/>
              <w:bottom w:val="single" w:sz="4" w:space="0" w:color="1A1C1F"/>
              <w:right w:val="single" w:sz="4" w:space="0" w:color="1A1C1F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3EFE6"/>
                <w:sz w:val="20"/>
              </w:rPr>
              <w:t>Choice</w:t>
            </w:r>
          </w:p>
        </w:tc>
        <w:tc>
          <w:tcPr>
            <w:tcW w:type="dxa" w:w="3024"/>
            <w:shd w:fill="1A1C1F" w:val="clear"/>
            <w:tcBorders>
              <w:top w:val="single" w:sz="4" w:space="0" w:color="1A1C1F"/>
              <w:left w:val="single" w:sz="4" w:space="0" w:color="1A1C1F"/>
              <w:bottom w:val="single" w:sz="4" w:space="0" w:color="1A1C1F"/>
              <w:right w:val="single" w:sz="4" w:space="0" w:color="1A1C1F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3EFE6"/>
                <w:sz w:val="20"/>
              </w:rPr>
              <w:t>Why</w:t>
            </w:r>
          </w:p>
        </w:tc>
      </w:tr>
      <w:tr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1C1F"/>
                <w:sz w:val="20"/>
              </w:rPr>
              <w:t>Model</w:t>
            </w:r>
          </w:p>
        </w:tc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Nemotron 3.5 Lightning via Ollama</w:t>
            </w:r>
          </w:p>
        </w:tc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Open weights, local, agentic, workstation-sized</w:t>
            </w:r>
          </w:p>
        </w:tc>
      </w:tr>
      <w:tr>
        <w:tc>
          <w:tcPr>
            <w:tcW w:type="dxa" w:w="3024"/>
            <w:shd w:fill="F3EFE6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1C1F"/>
                <w:sz w:val="20"/>
              </w:rPr>
              <w:t>UI</w:t>
            </w:r>
          </w:p>
        </w:tc>
        <w:tc>
          <w:tcPr>
            <w:tcW w:type="dxa" w:w="3024"/>
            <w:shd w:fill="F3EFE6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Open WebUI</w:t>
            </w:r>
          </w:p>
        </w:tc>
        <w:tc>
          <w:tcPr>
            <w:tcW w:type="dxa" w:w="3024"/>
            <w:shd w:fill="F3EFE6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Chat against the book; no custom app in v1</w:t>
            </w:r>
          </w:p>
        </w:tc>
      </w:tr>
      <w:tr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1C1F"/>
                <w:sz w:val="20"/>
              </w:rPr>
              <w:t>Decode</w:t>
            </w:r>
          </w:p>
        </w:tc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Python parsers + ripgrep</w:t>
            </w:r>
          </w:p>
        </w:tc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Logs and source stay deterministic</w:t>
            </w:r>
          </w:p>
        </w:tc>
      </w:tr>
      <w:tr>
        <w:tc>
          <w:tcPr>
            <w:tcW w:type="dxa" w:w="3024"/>
            <w:shd w:fill="F3EFE6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1C1F"/>
                <w:sz w:val="20"/>
              </w:rPr>
              <w:t>Store</w:t>
            </w:r>
          </w:p>
        </w:tc>
        <w:tc>
          <w:tcPr>
            <w:tcW w:type="dxa" w:w="3024"/>
            <w:shd w:fill="F3EFE6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Git Markdown / YAML</w:t>
            </w:r>
          </w:p>
        </w:tc>
        <w:tc>
          <w:tcPr>
            <w:tcW w:type="dxa" w:w="3024"/>
            <w:shd w:fill="F3EFE6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Reviewable, versioned to OFP</w:t>
            </w:r>
          </w:p>
        </w:tc>
      </w:tr>
      <w:tr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1A1C1F"/>
                <w:sz w:val="20"/>
              </w:rPr>
              <w:t>Out of scope</w:t>
            </w:r>
          </w:p>
        </w:tc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Cloud LLM, Wiki, LGTM, MCP mesh</w:t>
            </w:r>
          </w:p>
        </w:tc>
        <w:tc>
          <w:tcPr>
            <w:tcW w:type="dxa" w:w="3024"/>
            <w:shd w:fill="FAF8F2" w:val="clear"/>
            <w:tcBorders>
              <w:top w:val="single" w:sz="4" w:space="0" w:color="C9C2B2"/>
              <w:left w:val="single" w:sz="4" w:space="0" w:color="C9C2B2"/>
              <w:bottom w:val="single" w:sz="4" w:space="0" w:color="C9C2B2"/>
              <w:right w:val="single" w:sz="4" w:space="0" w:color="C9C2B2"/>
            </w:tcBorders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1A1C1F"/>
                <w:sz w:val="20"/>
              </w:rPr>
              <w:t>Add only after signatures are trusted</w:t>
            </w:r>
          </w:p>
        </w:tc>
      </w:tr>
    </w:tbl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1A1C1F"/>
          <w:sz w:val="22"/>
        </w:rPr>
      </w:r>
    </w:p>
    <w:p>
      <w:pPr>
        <w:spacing w:before="360" w:after="160"/>
      </w:pPr>
      <w:r>
        <w:rPr>
          <w:rFonts w:ascii="Georgia" w:hAnsi="Georgia" w:eastAsia="Georgia" w:cs="Georgia"/>
          <w:b/>
          <w:i w:val="0"/>
          <w:color w:val="1A1C1F"/>
          <w:sz w:val="28"/>
        </w:rPr>
        <w:t>Decision requested</w:t>
      </w:r>
    </w:p>
    <w:p>
      <w:pPr>
        <w:spacing w:after="200" w:before="0" w:line="276" w:lineRule="auto"/>
      </w:pPr>
      <w:r>
        <w:rPr>
          <w:rFonts w:ascii="Calibri" w:hAnsi="Calibri" w:eastAsia="Calibri" w:cs="Calibri"/>
          <w:b w:val="0"/>
          <w:i w:val="0"/>
          <w:color w:val="1A1C1F"/>
          <w:sz w:val="22"/>
        </w:rPr>
        <w:t>Approve part-time use of two to three people and one GPU workstation for eight to twelve weeks, with access to a single-subsystem corpus, to produce a reviewed Brain Book slice and a log-triage demonstration against historical cases.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 w:cs="Calibri"/>
        <w:b w:val="0"/>
        <w:i w:val="0"/>
        <w:color w:val="5C5F66"/>
        <w:sz w:val="18"/>
      </w:rPr>
      <w:t>Internal  ·  Concept only  ·  Not a technical order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 w:cs="Calibri"/>
        <w:b w:val="0"/>
        <w:i w:val="0"/>
        <w:color w:val="3D4F5F"/>
        <w:sz w:val="18"/>
      </w:rPr>
      <w:t>BRAIN BOOK  ·  Sponsorship memorandum  · 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