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eastAsia="Calibri" w:cs="Calibri"/>
          <w:b/>
          <w:i w:val="0"/>
          <w:color w:val="3D4F5F"/>
          <w:sz w:val="20"/>
        </w:rPr>
        <w:t>WHITEPAPER</w:t>
      </w:r>
    </w:p>
    <w:p>
      <w:pPr>
        <w:spacing w:after="200"/>
      </w:pPr>
      <w:r>
        <w:rPr>
          <w:rFonts w:ascii="Georgia" w:hAnsi="Georgia" w:eastAsia="Georgia" w:cs="Georgia"/>
          <w:b/>
          <w:i w:val="0"/>
          <w:color w:val="1A1C1F"/>
          <w:sz w:val="44"/>
        </w:rPr>
        <w:t>The Brain Book: capturing integration knowledge before Field Service has to reinvent it</w:t>
      </w:r>
    </w:p>
    <w:p>
      <w:pPr>
        <w:spacing w:after="280" w:before="0" w:line="276" w:lineRule="auto"/>
      </w:pPr>
      <w:r>
        <w:rPr>
          <w:rFonts w:ascii="Calibri" w:hAnsi="Calibri" w:eastAsia="Calibri" w:cs="Calibri"/>
          <w:b w:val="0"/>
          <w:i/>
          <w:color w:val="1A1C1F"/>
          <w:sz w:val="24"/>
        </w:rPr>
        <w:t>A local, cited knowledge compiler for Field Service Representatives and, later, Air Force T.O. 00-25-107 technical assistance requests. Procedures remain airworthy. The Brain Book is the evidence and the memory those procedures cannot hold.</w:t>
      </w:r>
    </w:p>
    <w:p>
      <w:pPr>
        <w:spacing w:before="320" w:after="0"/>
      </w:pPr>
      <w:r>
        <w:rPr>
          <w:rFonts w:ascii="Calibri" w:hAnsi="Calibri" w:eastAsia="Calibri" w:cs="Calibri"/>
          <w:b/>
          <w:i w:val="0"/>
          <w:color w:val="3D4F5F"/>
          <w:sz w:val="18"/>
        </w:rPr>
        <w:t>01  ·  THE NEED</w:t>
      </w:r>
    </w:p>
    <w:p>
      <w:pPr>
        <w:spacing w:before="360" w:after="160"/>
      </w:pPr>
      <w:r>
        <w:rPr>
          <w:rFonts w:ascii="Georgia" w:hAnsi="Georgia" w:eastAsia="Georgia" w:cs="Georgia"/>
          <w:b/>
          <w:i w:val="0"/>
          <w:color w:val="1A1C1F"/>
          <w:sz w:val="32"/>
        </w:rPr>
        <w:t>Knowledge is created in build and lost before the field</w:t>
      </w:r>
    </w:p>
    <w:p>
      <w:pPr>
        <w:spacing w:after="200" w:before="0" w:line="276" w:lineRule="auto"/>
      </w:pPr>
      <w:r>
        <w:rPr>
          <w:rFonts w:ascii="Calibri" w:hAnsi="Calibri" w:eastAsia="Calibri" w:cs="Calibri"/>
          <w:b w:val="0"/>
          <w:i w:val="0"/>
          <w:color w:val="1A1C1F"/>
          <w:sz w:val="22"/>
        </w:rPr>
        <w:t>A new aircraft does not wait for a technical order to accumulate knowledge. Supplier reports, lab integration, software loads, tickets, and flight-test cards already describe what the system does when it is healthy and what it looks like when it is not. That body of knowledge is real. It is also perishable. It lives in people, in ticket threads, and in log files that nobody indexes.</w:t>
      </w:r>
    </w:p>
    <w:p>
      <w:pPr>
        <w:spacing w:after="200" w:before="0" w:line="276" w:lineRule="auto"/>
      </w:pPr>
      <w:r>
        <w:rPr>
          <w:rFonts w:ascii="Calibri" w:hAnsi="Calibri" w:eastAsia="Calibri" w:cs="Calibri"/>
          <w:b w:val="0"/>
          <w:i w:val="0"/>
          <w:color w:val="1A1C1F"/>
          <w:sz w:val="22"/>
        </w:rPr>
        <w:t>The only official path to the field today is a written procedure. Procedures are necessary. They are also late, flattened, and config-blind. They cannot carry the log signature of a cold-soak align failure, the fact that a given serial number had an inverted timing pulse until an ECO, or the difference between two OFP loads on the same symptom. When a Field Service Representative (FSR) later faces that symptom — and when the unit files a 107 — they start from the procedure and from whoever still remembers last year’s rack.</w:t>
      </w:r>
    </w:p>
    <w:p>
      <w:pPr>
        <w:spacing w:after="200" w:before="0" w:line="276" w:lineRule="auto"/>
      </w:pPr>
      <w:r>
        <w:rPr>
          <w:rFonts w:ascii="Calibri" w:hAnsi="Calibri" w:eastAsia="Calibri" w:cs="Calibri"/>
          <w:b w:val="0"/>
          <w:i w:val="0"/>
          <w:color w:val="1A1C1F"/>
          <w:sz w:val="22"/>
        </w:rPr>
        <w:t>The system already produces the missing evidence: logs, BIT, and event traces. We do not parse them against known-good baselines. We do not keep the pairing of this ticket, this bad log, this good log, this software hash. That pairing is the Brain Book. Without it, every inbound 107 becomes a manual reconstruction of work the program already paid for.</w:t>
      </w:r>
    </w:p>
    <w:p>
      <w:pPr>
        <w:spacing w:before="320" w:after="0"/>
      </w:pPr>
      <w:r>
        <w:rPr>
          <w:rFonts w:ascii="Calibri" w:hAnsi="Calibri" w:eastAsia="Calibri" w:cs="Calibri"/>
          <w:b/>
          <w:i w:val="0"/>
          <w:color w:val="3D4F5F"/>
          <w:sz w:val="18"/>
        </w:rPr>
        <w:t>02  ·  WHAT IT IS</w:t>
      </w:r>
    </w:p>
    <w:p>
      <w:pPr>
        <w:spacing w:before="360" w:after="160"/>
      </w:pPr>
      <w:r>
        <w:rPr>
          <w:rFonts w:ascii="Georgia" w:hAnsi="Georgia" w:eastAsia="Georgia" w:cs="Georgia"/>
          <w:b/>
          <w:i w:val="0"/>
          <w:color w:val="1A1C1F"/>
          <w:sz w:val="32"/>
        </w:rPr>
        <w:t>A versioned book of reviewed objects, not a chatbot</w:t>
      </w:r>
    </w:p>
    <w:p>
      <w:pPr>
        <w:spacing w:after="200" w:before="0" w:line="276" w:lineRule="auto"/>
      </w:pPr>
      <w:r>
        <w:rPr>
          <w:rFonts w:ascii="Calibri" w:hAnsi="Calibri" w:eastAsia="Calibri" w:cs="Calibri"/>
          <w:b w:val="0"/>
          <w:i w:val="0"/>
          <w:color w:val="1A1C1F"/>
          <w:sz w:val="22"/>
        </w:rPr>
        <w:t>A Brain Book is not a chatbot over manuals and it is not a replacement for a TO. It is a versioned folder of reviewed objects, tied to MDS, block, OFP, and ICD:</w:t>
      </w:r>
    </w:p>
    <w:p>
      <w:pPr>
        <w:pStyle w:val="ListBullet"/>
        <w:spacing w:after="80"/>
        <w:ind w:left="504"/>
      </w:pPr>
      <w:r>
        <w:rPr>
          <w:rFonts w:ascii="Calibri" w:hAnsi="Calibri" w:eastAsia="Calibri" w:cs="Calibri"/>
          <w:b/>
          <w:i w:val="0"/>
          <w:color w:val="1A1C1F"/>
          <w:sz w:val="22"/>
        </w:rPr>
        <w:t>Event dictionary</w:t>
      </w:r>
      <w:r>
        <w:rPr>
          <w:rFonts w:ascii="Calibri" w:hAnsi="Calibri" w:eastAsia="Calibri" w:cs="Calibri"/>
          <w:b w:val="0"/>
          <w:i w:val="0"/>
          <w:color w:val="1A1C1F"/>
          <w:sz w:val="22"/>
        </w:rPr>
        <w:t xml:space="preserve"> — log strings and BIT codes mapped to source file and meaning.</w:t>
      </w:r>
    </w:p>
    <w:p>
      <w:pPr>
        <w:pStyle w:val="ListBullet"/>
        <w:spacing w:after="80"/>
        <w:ind w:left="504"/>
      </w:pPr>
      <w:r>
        <w:rPr>
          <w:rFonts w:ascii="Calibri" w:hAnsi="Calibri" w:eastAsia="Calibri" w:cs="Calibri"/>
          <w:b/>
          <w:i w:val="0"/>
          <w:color w:val="1A1C1F"/>
          <w:sz w:val="22"/>
        </w:rPr>
        <w:t>Mode baselines</w:t>
      </w:r>
      <w:r>
        <w:rPr>
          <w:rFonts w:ascii="Calibri" w:hAnsi="Calibri" w:eastAsia="Calibri" w:cs="Calibri"/>
          <w:b w:val="0"/>
          <w:i w:val="0"/>
          <w:color w:val="1A1C1F"/>
          <w:sz w:val="22"/>
        </w:rPr>
        <w:t xml:space="preserve"> — what a healthy power-up, align, or test card emits on a given OFP.</w:t>
      </w:r>
    </w:p>
    <w:p>
      <w:pPr>
        <w:pStyle w:val="ListBullet"/>
        <w:spacing w:after="80"/>
        <w:ind w:left="504"/>
      </w:pPr>
      <w:r>
        <w:rPr>
          <w:rFonts w:ascii="Calibri" w:hAnsi="Calibri" w:eastAsia="Calibri" w:cs="Calibri"/>
          <w:b/>
          <w:i w:val="0"/>
          <w:color w:val="1A1C1F"/>
          <w:sz w:val="22"/>
        </w:rPr>
        <w:t>Signatures</w:t>
      </w:r>
      <w:r>
        <w:rPr>
          <w:rFonts w:ascii="Calibri" w:hAnsi="Calibri" w:eastAsia="Calibri" w:cs="Calibri"/>
          <w:b w:val="0"/>
          <w:i w:val="0"/>
          <w:color w:val="1A1C1F"/>
          <w:sz w:val="22"/>
        </w:rPr>
        <w:t xml:space="preserve"> — IS / IS-NOT, events only in the bad log, distinguishing check, resolution, citations.</w:t>
      </w:r>
    </w:p>
    <w:p>
      <w:pPr>
        <w:pStyle w:val="ListBullet"/>
        <w:spacing w:after="80"/>
        <w:ind w:left="504"/>
      </w:pPr>
      <w:r>
        <w:rPr>
          <w:rFonts w:ascii="Calibri" w:hAnsi="Calibri" w:eastAsia="Calibri" w:cs="Calibri"/>
          <w:b/>
          <w:i w:val="0"/>
          <w:color w:val="1A1C1F"/>
          <w:sz w:val="22"/>
        </w:rPr>
        <w:t>Ticket digests</w:t>
      </w:r>
      <w:r>
        <w:rPr>
          <w:rFonts w:ascii="Calibri" w:hAnsi="Calibri" w:eastAsia="Calibri" w:cs="Calibri"/>
          <w:b w:val="0"/>
          <w:i w:val="0"/>
          <w:color w:val="1A1C1F"/>
          <w:sz w:val="22"/>
        </w:rPr>
        <w:t xml:space="preserve"> — the narrative labs never put in a procedure: what was tried, what failed, what closed it.</w:t>
      </w:r>
    </w:p>
    <w:p>
      <w:pPr>
        <w:spacing w:after="200" w:before="0" w:line="276" w:lineRule="auto"/>
      </w:pPr>
      <w:r>
        <w:rPr>
          <w:rFonts w:ascii="Calibri" w:hAnsi="Calibri" w:eastAsia="Calibri" w:cs="Calibri"/>
          <w:b w:val="0"/>
          <w:i w:val="0"/>
          <w:color w:val="1A1C1F"/>
          <w:sz w:val="22"/>
        </w:rPr>
        <w:t>Drafts are generated by a local LLM from artifacts the program already has: source, associated documents, tickets, and paired good/bad logs. Nothing is treated as true until a lab, flight-test, or software owner changes maturity from draft to reviewed. Citations are mandatory. Ungrounded numbers are refused. The official 107 response and any airworthy step remain human.</w:t>
      </w:r>
    </w:p>
    <w:p>
      <w:pPr>
        <w:spacing w:before="320" w:after="0"/>
      </w:pPr>
      <w:r>
        <w:rPr>
          <w:rFonts w:ascii="Calibri" w:hAnsi="Calibri" w:eastAsia="Calibri" w:cs="Calibri"/>
          <w:b/>
          <w:i w:val="0"/>
          <w:color w:val="3D4F5F"/>
          <w:sz w:val="18"/>
        </w:rPr>
        <w:t>03  ·  CONSUMERS</w:t>
      </w:r>
    </w:p>
    <w:p>
      <w:pPr>
        <w:spacing w:before="360" w:after="160"/>
      </w:pPr>
      <w:r>
        <w:rPr>
          <w:rFonts w:ascii="Georgia" w:hAnsi="Georgia" w:eastAsia="Georgia" w:cs="Georgia"/>
          <w:b/>
          <w:i w:val="0"/>
          <w:color w:val="1A1C1F"/>
          <w:sz w:val="32"/>
        </w:rPr>
        <w:t>FSRs first; 107s when the process stands up</w:t>
      </w:r>
    </w:p>
    <w:p>
      <w:pPr>
        <w:spacing w:after="200" w:before="0" w:line="276" w:lineRule="auto"/>
      </w:pPr>
      <w:r>
        <w:rPr>
          <w:rFonts w:ascii="Calibri" w:hAnsi="Calibri" w:eastAsia="Calibri" w:cs="Calibri"/>
          <w:b w:val="0"/>
          <w:i w:val="0"/>
          <w:color w:val="1A1C1F"/>
          <w:sz w:val="22"/>
        </w:rPr>
        <w:t>We are not yet in 107 land. That is the point. FSRs and integration engineers are the first consumers. They need a way to ask “have we seen this?” against the same configuration that is on the jet, and to turn a log dump into a short list of matching signatures instead of a scroll through raw files.</w:t>
      </w:r>
    </w:p>
    <w:p>
      <w:pPr>
        <w:spacing w:after="200" w:before="0" w:line="276" w:lineRule="auto"/>
      </w:pPr>
      <w:r>
        <w:rPr>
          <w:rFonts w:ascii="Calibri" w:hAnsi="Calibri" w:eastAsia="Calibri" w:cs="Calibri"/>
          <w:b w:val="0"/>
          <w:i w:val="0"/>
          <w:color w:val="1A1C1F"/>
          <w:sz w:val="22"/>
        </w:rPr>
        <w:t>When 107s (T.O. 00-25-107 Technical Assistance Requests and Maintenance Assistance Requests) begin to arrive, the same book becomes the triage layer. Most inbound requests fail first on incomplete facts: missing OFP, no last-known-good, no “already tried,” no log attached. The model’s first job is not diagnosis. It is to name the missing context, draft the callback questions, and only then rank hypotheses that the signatures can support.</w:t>
      </w:r>
    </w:p>
    <w:p>
      <w:pPr>
        <w:spacing w:after="200" w:before="0" w:line="276" w:lineRule="auto"/>
      </w:pPr>
      <w:r>
        <w:rPr>
          <w:rFonts w:ascii="Calibri" w:hAnsi="Calibri" w:eastAsia="Calibri" w:cs="Calibri"/>
          <w:b w:val="0"/>
          <w:i w:val="0"/>
          <w:color w:val="1A1C1F"/>
          <w:sz w:val="22"/>
        </w:rPr>
        <w:t>That sequence — generate memory now, use it for FSR troubleshooting next, feed 107 triage later — is how knowledge stops walking off the aircraft with the people who built it.</w:t>
      </w:r>
    </w:p>
    <w:p>
      <w:pPr>
        <w:spacing w:before="320" w:after="0"/>
      </w:pPr>
      <w:r>
        <w:rPr>
          <w:rFonts w:ascii="Calibri" w:hAnsi="Calibri" w:eastAsia="Calibri" w:cs="Calibri"/>
          <w:b/>
          <w:i w:val="0"/>
          <w:color w:val="3D4F5F"/>
          <w:sz w:val="18"/>
        </w:rPr>
        <w:t>04  ·  TIMING</w:t>
      </w:r>
    </w:p>
    <w:p>
      <w:pPr>
        <w:spacing w:before="360" w:after="160"/>
      </w:pPr>
      <w:r>
        <w:rPr>
          <w:rFonts w:ascii="Georgia" w:hAnsi="Georgia" w:eastAsia="Georgia" w:cs="Georgia"/>
          <w:b/>
          <w:i w:val="0"/>
          <w:color w:val="1A1C1F"/>
          <w:sz w:val="32"/>
        </w:rPr>
        <w:t>The compiler has to run while the logs are still attached</w:t>
      </w:r>
    </w:p>
    <w:p>
      <w:pPr>
        <w:spacing w:after="200" w:before="0" w:line="276" w:lineRule="auto"/>
      </w:pPr>
      <w:r>
        <w:rPr>
          <w:rFonts w:ascii="Calibri" w:hAnsi="Calibri" w:eastAsia="Calibri" w:cs="Calibri"/>
          <w:b w:val="0"/>
          <w:i w:val="0"/>
          <w:color w:val="1A1C1F"/>
          <w:sz w:val="22"/>
        </w:rPr>
        <w:t>A language model cannot recover a signature that was never captured. If a ticket closes with “fixed it, see verbal,” the field has nothing to match. Generation must happen while supplier reports, lab anomalies, and flight-test cards are still attached to logs.</w:t>
      </w:r>
    </w:p>
    <w:p>
      <w:pPr>
        <w:spacing w:after="200" w:before="0" w:line="276" w:lineRule="auto"/>
      </w:pPr>
      <w:r>
        <w:rPr>
          <w:rFonts w:ascii="Calibri" w:hAnsi="Calibri" w:eastAsia="Calibri" w:cs="Calibri"/>
          <w:b w:val="0"/>
          <w:i w:val="0"/>
          <w:color w:val="1A1C1F"/>
          <w:sz w:val="22"/>
        </w:rPr>
        <w:t>The near-term product is therefore a Brain Book factory, not a field portal. One subsystem, one OFP, historical tickets with logs, and a human review loop is enough to prove the idea. If engineers who chased those problems recognize the drafted signatures, the later 107 workflow is just a new cover sheet on the same folder.</w:t>
      </w:r>
    </w:p>
    <w:p>
      <w:pPr>
        <w:spacing w:before="320" w:after="0"/>
      </w:pPr>
      <w:r>
        <w:rPr>
          <w:rFonts w:ascii="Calibri" w:hAnsi="Calibri" w:eastAsia="Calibri" w:cs="Calibri"/>
          <w:b/>
          <w:i w:val="0"/>
          <w:color w:val="3D4F5F"/>
          <w:sz w:val="18"/>
        </w:rPr>
        <w:t>05  ·  THREE PHASES</w:t>
      </w:r>
    </w:p>
    <w:p>
      <w:pPr>
        <w:spacing w:before="360" w:after="160"/>
      </w:pPr>
      <w:r>
        <w:rPr>
          <w:rFonts w:ascii="Georgia" w:hAnsi="Georgia" w:eastAsia="Georgia" w:cs="Georgia"/>
          <w:b/>
          <w:i w:val="0"/>
          <w:color w:val="1A1C1F"/>
          <w:sz w:val="32"/>
        </w:rPr>
        <w:t>One book, three operating pictures</w:t>
      </w:r>
    </w:p>
    <w:tbl>
      <w:tblPr>
        <w:tblW w:type="auto" w:w="0"/>
        <w:tblLayout w:type="autofit"/>
        <w:tblLook w:firstColumn="1" w:firstRow="1" w:lastColumn="0" w:lastRow="0" w:noHBand="0" w:noVBand="1" w:val="04A0"/>
      </w:tblPr>
      <w:tblGrid>
        <w:gridCol w:w="3024"/>
        <w:gridCol w:w="3024"/>
        <w:gridCol w:w="3024"/>
      </w:tblGrid>
      <w:tr>
        <w:tc>
          <w:tcPr>
            <w:tcW w:type="dxa" w:w="3024"/>
            <w:shd w:fill="1A1C1F" w:val="clear"/>
            <w:tcBorders>
              <w:top w:val="single" w:sz="4" w:space="0" w:color="1A1C1F"/>
              <w:left w:val="single" w:sz="4" w:space="0" w:color="1A1C1F"/>
              <w:bottom w:val="single" w:sz="4" w:space="0" w:color="1A1C1F"/>
              <w:right w:val="single" w:sz="4" w:space="0" w:color="1A1C1F"/>
            </w:tcBorders>
          </w:tcPr>
          <w:p>
            <w:r/>
            <w:r>
              <w:rPr>
                <w:rFonts w:ascii="Calibri" w:hAnsi="Calibri" w:eastAsia="Calibri" w:cs="Calibri"/>
                <w:b/>
                <w:i w:val="0"/>
                <w:color w:val="F3EFE6"/>
                <w:sz w:val="20"/>
              </w:rPr>
              <w:t>Phase</w:t>
            </w:r>
          </w:p>
        </w:tc>
        <w:tc>
          <w:tcPr>
            <w:tcW w:type="dxa" w:w="3024"/>
            <w:shd w:fill="1A1C1F" w:val="clear"/>
            <w:tcBorders>
              <w:top w:val="single" w:sz="4" w:space="0" w:color="1A1C1F"/>
              <w:left w:val="single" w:sz="4" w:space="0" w:color="1A1C1F"/>
              <w:bottom w:val="single" w:sz="4" w:space="0" w:color="1A1C1F"/>
              <w:right w:val="single" w:sz="4" w:space="0" w:color="1A1C1F"/>
            </w:tcBorders>
          </w:tcPr>
          <w:p>
            <w:r/>
            <w:r>
              <w:rPr>
                <w:rFonts w:ascii="Calibri" w:hAnsi="Calibri" w:eastAsia="Calibri" w:cs="Calibri"/>
                <w:b/>
                <w:i w:val="0"/>
                <w:color w:val="F3EFE6"/>
                <w:sz w:val="20"/>
              </w:rPr>
              <w:t>What happens</w:t>
            </w:r>
          </w:p>
        </w:tc>
        <w:tc>
          <w:tcPr>
            <w:tcW w:type="dxa" w:w="3024"/>
            <w:shd w:fill="1A1C1F" w:val="clear"/>
            <w:tcBorders>
              <w:top w:val="single" w:sz="4" w:space="0" w:color="1A1C1F"/>
              <w:left w:val="single" w:sz="4" w:space="0" w:color="1A1C1F"/>
              <w:bottom w:val="single" w:sz="4" w:space="0" w:color="1A1C1F"/>
              <w:right w:val="single" w:sz="4" w:space="0" w:color="1A1C1F"/>
            </w:tcBorders>
          </w:tcPr>
          <w:p>
            <w:r/>
            <w:r>
              <w:rPr>
                <w:rFonts w:ascii="Calibri" w:hAnsi="Calibri" w:eastAsia="Calibri" w:cs="Calibri"/>
                <w:b/>
                <w:i w:val="0"/>
                <w:color w:val="F3EFE6"/>
                <w:sz w:val="20"/>
              </w:rPr>
              <w:t>Output</w:t>
            </w:r>
          </w:p>
        </w:tc>
      </w:tr>
      <w:tr>
        <w:tc>
          <w:tcPr>
            <w:tcW w:type="dxa" w:w="3024"/>
            <w:shd w:fill="FAF8F2" w:val="clear"/>
            <w:tcBorders>
              <w:top w:val="single" w:sz="4" w:space="0" w:color="C9C2B2"/>
              <w:left w:val="single" w:sz="4" w:space="0" w:color="C9C2B2"/>
              <w:bottom w:val="single" w:sz="4" w:space="0" w:color="C9C2B2"/>
              <w:right w:val="single" w:sz="4" w:space="0" w:color="C9C2B2"/>
            </w:tcBorders>
          </w:tcPr>
          <w:p>
            <w:r/>
            <w:r>
              <w:rPr>
                <w:rFonts w:ascii="Calibri" w:hAnsi="Calibri" w:eastAsia="Calibri" w:cs="Calibri"/>
                <w:b/>
                <w:i w:val="0"/>
                <w:color w:val="1A1C1F"/>
                <w:sz w:val="20"/>
              </w:rPr>
              <w:t>1. Generate</w:t>
            </w:r>
          </w:p>
        </w:tc>
        <w:tc>
          <w:tcPr>
            <w:tcW w:type="dxa" w:w="3024"/>
            <w:shd w:fill="FAF8F2" w:val="clear"/>
            <w:tcBorders>
              <w:top w:val="single" w:sz="4" w:space="0" w:color="C9C2B2"/>
              <w:left w:val="single" w:sz="4" w:space="0" w:color="C9C2B2"/>
              <w:bottom w:val="single" w:sz="4" w:space="0" w:color="C9C2B2"/>
              <w:right w:val="single" w:sz="4" w:space="0" w:color="C9C2B2"/>
            </w:tcBorders>
          </w:tcPr>
          <w:p>
            <w:r/>
            <w:r>
              <w:rPr>
                <w:rFonts w:ascii="Calibri" w:hAnsi="Calibri" w:eastAsia="Calibri" w:cs="Calibri"/>
                <w:b w:val="0"/>
                <w:i w:val="0"/>
                <w:color w:val="1A1C1F"/>
                <w:sz w:val="20"/>
              </w:rPr>
              <w:t>Ingest source, documents, tickets, and paired good/bad logs. Deterministic decode and diff; local LLM drafts signatures and digests.</w:t>
            </w:r>
          </w:p>
        </w:tc>
        <w:tc>
          <w:tcPr>
            <w:tcW w:type="dxa" w:w="3024"/>
            <w:shd w:fill="FAF8F2" w:val="clear"/>
            <w:tcBorders>
              <w:top w:val="single" w:sz="4" w:space="0" w:color="C9C2B2"/>
              <w:left w:val="single" w:sz="4" w:space="0" w:color="C9C2B2"/>
              <w:bottom w:val="single" w:sz="4" w:space="0" w:color="C9C2B2"/>
              <w:right w:val="single" w:sz="4" w:space="0" w:color="C9C2B2"/>
            </w:tcBorders>
          </w:tcPr>
          <w:p>
            <w:r/>
            <w:r>
              <w:rPr>
                <w:rFonts w:ascii="Calibri" w:hAnsi="Calibri" w:eastAsia="Calibri" w:cs="Calibri"/>
                <w:b w:val="0"/>
                <w:i w:val="0"/>
                <w:color w:val="1A1C1F"/>
                <w:sz w:val="20"/>
              </w:rPr>
              <w:t>Reviewed dictionary, baselines, signatures (maturity: draft → lab/FT reviewed).</w:t>
            </w:r>
          </w:p>
        </w:tc>
      </w:tr>
      <w:tr>
        <w:tc>
          <w:tcPr>
            <w:tcW w:type="dxa" w:w="3024"/>
            <w:shd w:fill="F3EFE6" w:val="clear"/>
            <w:tcBorders>
              <w:top w:val="single" w:sz="4" w:space="0" w:color="C9C2B2"/>
              <w:left w:val="single" w:sz="4" w:space="0" w:color="C9C2B2"/>
              <w:bottom w:val="single" w:sz="4" w:space="0" w:color="C9C2B2"/>
              <w:right w:val="single" w:sz="4" w:space="0" w:color="C9C2B2"/>
            </w:tcBorders>
          </w:tcPr>
          <w:p>
            <w:r/>
            <w:r>
              <w:rPr>
                <w:rFonts w:ascii="Calibri" w:hAnsi="Calibri" w:eastAsia="Calibri" w:cs="Calibri"/>
                <w:b/>
                <w:i w:val="0"/>
                <w:color w:val="1A1C1F"/>
                <w:sz w:val="20"/>
              </w:rPr>
              <w:t>2. 107 triage</w:t>
            </w:r>
          </w:p>
        </w:tc>
        <w:tc>
          <w:tcPr>
            <w:tcW w:type="dxa" w:w="3024"/>
            <w:shd w:fill="F3EFE6" w:val="clear"/>
            <w:tcBorders>
              <w:top w:val="single" w:sz="4" w:space="0" w:color="C9C2B2"/>
              <w:left w:val="single" w:sz="4" w:space="0" w:color="C9C2B2"/>
              <w:bottom w:val="single" w:sz="4" w:space="0" w:color="C9C2B2"/>
              <w:right w:val="single" w:sz="4" w:space="0" w:color="C9C2B2"/>
            </w:tcBorders>
          </w:tcPr>
          <w:p>
            <w:r/>
            <w:r>
              <w:rPr>
                <w:rFonts w:ascii="Calibri" w:hAnsi="Calibri" w:eastAsia="Calibri" w:cs="Calibri"/>
                <w:b w:val="0"/>
                <w:i w:val="0"/>
                <w:color w:val="1A1C1F"/>
                <w:sz w:val="20"/>
              </w:rPr>
              <w:t>Normalize the request. Completeness gate on configuration and evidence. Retrieve only for the stated OFP/block. Block diagnosis if facts are missing.</w:t>
            </w:r>
          </w:p>
        </w:tc>
        <w:tc>
          <w:tcPr>
            <w:tcW w:type="dxa" w:w="3024"/>
            <w:shd w:fill="F3EFE6" w:val="clear"/>
            <w:tcBorders>
              <w:top w:val="single" w:sz="4" w:space="0" w:color="C9C2B2"/>
              <w:left w:val="single" w:sz="4" w:space="0" w:color="C9C2B2"/>
              <w:bottom w:val="single" w:sz="4" w:space="0" w:color="C9C2B2"/>
              <w:right w:val="single" w:sz="4" w:space="0" w:color="C9C2B2"/>
            </w:tcBorders>
          </w:tcPr>
          <w:p>
            <w:r/>
            <w:r>
              <w:rPr>
                <w:rFonts w:ascii="Calibri" w:hAnsi="Calibri" w:eastAsia="Calibri" w:cs="Calibri"/>
                <w:b w:val="0"/>
                <w:i w:val="0"/>
                <w:color w:val="1A1C1F"/>
                <w:sz w:val="20"/>
              </w:rPr>
              <w:t>Callback questions, or a triage packet with top-three hypotheses and kill-checks.</w:t>
            </w:r>
          </w:p>
        </w:tc>
      </w:tr>
      <w:tr>
        <w:tc>
          <w:tcPr>
            <w:tcW w:type="dxa" w:w="3024"/>
            <w:shd w:fill="FAF8F2" w:val="clear"/>
            <w:tcBorders>
              <w:top w:val="single" w:sz="4" w:space="0" w:color="C9C2B2"/>
              <w:left w:val="single" w:sz="4" w:space="0" w:color="C9C2B2"/>
              <w:bottom w:val="single" w:sz="4" w:space="0" w:color="C9C2B2"/>
              <w:right w:val="single" w:sz="4" w:space="0" w:color="C9C2B2"/>
            </w:tcBorders>
          </w:tcPr>
          <w:p>
            <w:r/>
            <w:r>
              <w:rPr>
                <w:rFonts w:ascii="Calibri" w:hAnsi="Calibri" w:eastAsia="Calibri" w:cs="Calibri"/>
                <w:b/>
                <w:i w:val="0"/>
                <w:color w:val="1A1C1F"/>
                <w:sz w:val="20"/>
              </w:rPr>
              <w:t>3. FSR log review</w:t>
            </w:r>
          </w:p>
        </w:tc>
        <w:tc>
          <w:tcPr>
            <w:tcW w:type="dxa" w:w="3024"/>
            <w:shd w:fill="FAF8F2" w:val="clear"/>
            <w:tcBorders>
              <w:top w:val="single" w:sz="4" w:space="0" w:color="C9C2B2"/>
              <w:left w:val="single" w:sz="4" w:space="0" w:color="C9C2B2"/>
              <w:bottom w:val="single" w:sz="4" w:space="0" w:color="C9C2B2"/>
              <w:right w:val="single" w:sz="4" w:space="0" w:color="C9C2B2"/>
            </w:tcBorders>
          </w:tcPr>
          <w:p>
            <w:r/>
            <w:r>
              <w:rPr>
                <w:rFonts w:ascii="Calibri" w:hAnsi="Calibri" w:eastAsia="Calibri" w:cs="Calibri"/>
                <w:b w:val="0"/>
                <w:i w:val="0"/>
                <w:color w:val="1A1C1F"/>
                <w:sz w:val="20"/>
              </w:rPr>
              <w:t>Decode logs to events. Match signatures. LLM interprets only unmatched residue. One next check. Update IS/IS-NOT and fishbone status.</w:t>
            </w:r>
          </w:p>
        </w:tc>
        <w:tc>
          <w:tcPr>
            <w:tcW w:type="dxa" w:w="3024"/>
            <w:shd w:fill="FAF8F2" w:val="clear"/>
            <w:tcBorders>
              <w:top w:val="single" w:sz="4" w:space="0" w:color="C9C2B2"/>
              <w:left w:val="single" w:sz="4" w:space="0" w:color="C9C2B2"/>
              <w:bottom w:val="single" w:sz="4" w:space="0" w:color="C9C2B2"/>
              <w:right w:val="single" w:sz="4" w:space="0" w:color="C9C2B2"/>
            </w:tcBorders>
          </w:tcPr>
          <w:p>
            <w:r/>
            <w:r>
              <w:rPr>
                <w:rFonts w:ascii="Calibri" w:hAnsi="Calibri" w:eastAsia="Calibri" w:cs="Calibri"/>
                <w:b w:val="0"/>
                <w:i w:val="0"/>
                <w:color w:val="1A1C1F"/>
                <w:sz w:val="20"/>
              </w:rPr>
              <w:t>Case file: matches, unmatched events, next check, citations. New signature if the case is novel.</w:t>
            </w:r>
          </w:p>
        </w:tc>
      </w:tr>
    </w:tbl>
    <w:p>
      <w:pPr>
        <w:spacing w:after="120" w:before="0" w:line="276" w:lineRule="auto"/>
      </w:pPr>
      <w:r>
        <w:rPr>
          <w:rFonts w:ascii="Calibri" w:hAnsi="Calibri" w:eastAsia="Calibri" w:cs="Calibri"/>
          <w:b w:val="0"/>
          <w:i w:val="0"/>
          <w:color w:val="1A1C1F"/>
          <w:sz w:val="22"/>
        </w:rPr>
      </w:r>
    </w:p>
    <w:p>
      <w:pPr>
        <w:spacing w:after="200" w:before="0" w:line="276" w:lineRule="auto"/>
      </w:pPr>
      <w:r>
        <w:rPr>
          <w:rFonts w:ascii="Calibri" w:hAnsi="Calibri" w:eastAsia="Calibri" w:cs="Calibri"/>
          <w:b w:val="0"/>
          <w:i w:val="0"/>
          <w:color w:val="1A1C1F"/>
          <w:sz w:val="22"/>
        </w:rPr>
        <w:t>Log parsing is software first. Do not point the model at raw dumps. Decode to an event table, match against the signature library, and use the LLM only on the residue and on incomplete free text.</w:t>
      </w:r>
    </w:p>
    <w:p>
      <w:pPr>
        <w:spacing w:before="320" w:after="0"/>
      </w:pPr>
      <w:r>
        <w:rPr>
          <w:rFonts w:ascii="Calibri" w:hAnsi="Calibri" w:eastAsia="Calibri" w:cs="Calibri"/>
          <w:b/>
          <w:i w:val="0"/>
          <w:color w:val="3D4F5F"/>
          <w:sz w:val="18"/>
        </w:rPr>
        <w:t>06  ·  GUARDRAILS</w:t>
      </w:r>
    </w:p>
    <w:p>
      <w:pPr>
        <w:spacing w:before="360" w:after="160"/>
      </w:pPr>
      <w:r>
        <w:rPr>
          <w:rFonts w:ascii="Georgia" w:hAnsi="Georgia" w:eastAsia="Georgia" w:cs="Georgia"/>
          <w:b/>
          <w:i w:val="0"/>
          <w:color w:val="1A1C1F"/>
          <w:sz w:val="32"/>
        </w:rPr>
        <w:t>Advise. Do not dispose. Do not command.</w:t>
      </w:r>
    </w:p>
    <w:p>
      <w:pPr>
        <w:spacing w:after="200" w:before="0" w:line="276" w:lineRule="auto"/>
      </w:pPr>
      <w:r>
        <w:rPr>
          <w:rFonts w:ascii="Calibri" w:hAnsi="Calibri" w:eastAsia="Calibri" w:cs="Calibri"/>
          <w:b w:val="0"/>
          <w:i w:val="0"/>
          <w:color w:val="1A1C1F"/>
          <w:sz w:val="22"/>
        </w:rPr>
        <w:t>Local inference only — source, tickets, and logs do not leave the enclave. Decode and signature match are deterministic; the model writes names, IS / IS-NOT, and open questions from provided text. Live commanding of hardware is out of scope. The Brain Book advises. The signed procedure and the FSR dispose.</w:t>
      </w:r>
    </w:p>
    <w:p>
      <w:pPr>
        <w:spacing w:before="320" w:after="0"/>
      </w:pPr>
      <w:r>
        <w:rPr>
          <w:rFonts w:ascii="Calibri" w:hAnsi="Calibri" w:eastAsia="Calibri" w:cs="Calibri"/>
          <w:b/>
          <w:i w:val="0"/>
          <w:color w:val="3D4F5F"/>
          <w:sz w:val="18"/>
        </w:rPr>
        <w:t>07  ·  RECOMMENDED NEXT STEP</w:t>
      </w:r>
    </w:p>
    <w:p>
      <w:pPr>
        <w:spacing w:before="360" w:after="160"/>
      </w:pPr>
      <w:r>
        <w:rPr>
          <w:rFonts w:ascii="Georgia" w:hAnsi="Georgia" w:eastAsia="Georgia" w:cs="Georgia"/>
          <w:b/>
          <w:i w:val="0"/>
          <w:color w:val="1A1C1F"/>
          <w:sz w:val="32"/>
        </w:rPr>
        <w:t>A bounded demo, not a platform</w:t>
      </w:r>
    </w:p>
    <w:p>
      <w:pPr>
        <w:spacing w:after="200" w:before="0" w:line="276" w:lineRule="auto"/>
      </w:pPr>
      <w:r>
        <w:rPr>
          <w:rFonts w:ascii="Calibri" w:hAnsi="Calibri" w:eastAsia="Calibri" w:cs="Calibri"/>
          <w:b w:val="0"/>
          <w:i w:val="0"/>
          <w:color w:val="1A1C1F"/>
          <w:sz w:val="22"/>
        </w:rPr>
        <w:t>Sponsor a small part-time team to compile a Brain Book for one subsystem and one OFP using an open local stack (NVIDIA Nemotron via Ollama, Open WebUI, Python/ripgrep parsers, Git-backed Markdown/YAML). Success is ten reviewed signatures that the engineers who chased those problems recognize, plus historical cases where the eventual cause appears in the top three after decode. Detail is in the companion sponsorship memo.</w:t>
      </w: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cs="Calibri"/>
        <w:b w:val="0"/>
        <w:i w:val="0"/>
        <w:color w:val="5C5F66"/>
        <w:sz w:val="18"/>
      </w:rPr>
      <w:t xml:space="preserve">INTERNAL CONCEPT BRIEF  ·  </w:t>
    </w:r>
    <w:r>
      <w:rPr>
        <w:rFonts w:ascii="Calibri" w:hAnsi="Calibri" w:eastAsia="Calibri" w:cs="Calibri"/>
        <w:b w:val="0"/>
        <w:i w:val="0"/>
        <w:color w:val="5C5F66"/>
        <w:sz w:val="18"/>
      </w:rPr>
      <w:t xml:space="preserve">Page </w:t>
    </w:r>
    <w:r>
      <w:rPr>
        <w:rFonts w:ascii="Calibri" w:hAnsi="Calibri" w:eastAsia="Calibri" w:cs="Calibri"/>
        <w:b w:val="0"/>
        <w:i w:val="0"/>
        <w:color w:val="5C5F66"/>
        <w:sz w:val="18"/>
      </w:rPr>
      <w:fldChar w:fldCharType="begin"/>
    </w:r>
    <w:r>
      <w:rPr>
        <w:rFonts w:ascii="Calibri" w:hAnsi="Calibri" w:eastAsia="Calibri" w:cs="Calibri"/>
        <w:b w:val="0"/>
        <w:i w:val="0"/>
        <w:color w:val="5C5F66"/>
        <w:sz w:val="18"/>
      </w:rPr>
      <w:instrText xml:space="preserve"> PAGE </w:instrText>
    </w:r>
    <w:r>
      <w:rPr>
        <w:rFonts w:ascii="Calibri" w:hAnsi="Calibri" w:eastAsia="Calibri" w:cs="Calibri"/>
        <w:b w:val="0"/>
        <w:i w:val="0"/>
        <w:color w:val="5C5F66"/>
        <w:sz w:val="18"/>
      </w:rPr>
      <w:fldChar w:fldCharType="end"/>
    </w:r>
    <w:r>
      <w:rPr>
        <w:rFonts w:ascii="Calibri" w:hAnsi="Calibri" w:eastAsia="Calibri" w:cs="Calibri"/>
        <w:b w:val="0"/>
        <w:i w:val="0"/>
        <w:color w:val="5C5F66"/>
        <w:sz w:val="18"/>
      </w:rPr>
      <w:t xml:space="preserve">  ·  Not a technical order  ·  Not an airworthy disposition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cs="Calibri"/>
        <w:b w:val="0"/>
        <w:i w:val="0"/>
        <w:color w:val="3D4F5F"/>
        <w:sz w:val="18"/>
      </w:rPr>
      <w:t>BRAIN BOOK  ·  Internal concept brief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