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pPr>
      <w:r>
        <w:rPr>
          <w:rFonts w:ascii="Microsoft YaHei" w:hAnsi="Microsoft YaHei" w:eastAsia="Microsoft YaHei"/>
          <w:color w:val="2E74B5"/>
        </w:rPr>
        <w:t>产品与工程执行基线</w:t>
      </w:r>
    </w:p>
    <w:p>
      <w:pPr>
        <w:keepNext/>
        <w:spacing w:before="160" w:after="120"/>
      </w:pPr>
      <w:r>
        <w:rPr>
          <w:rFonts w:ascii="Microsoft YaHei" w:hAnsi="Microsoft YaHei" w:eastAsia="Microsoft YaHei"/>
          <w:b/>
          <w:color w:val="183B56"/>
          <w:sz w:val="48"/>
        </w:rPr>
        <w:t>轻量格子搜撤游戏</w:t>
      </w:r>
    </w:p>
    <w:p>
      <w:pPr>
        <w:keepNext/>
        <w:spacing w:before="0" w:after="280"/>
      </w:pPr>
      <w:r>
        <w:t>Prototype V0.1 项目规范 / Codex 强约束执行版 / V0.1-baseline-02</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7160"/>
      </w:tblGrid>
      <w:tr>
        <w:trPr>
          <w:tblHeader w:val="true"/>
          <w:cantSplit/>
        </w:trPr>
        <w:tc>
          <w:tcPr>
            <w:tcW w:type="dxa" w:w="22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9"/>
              </w:rPr>
              <w:t>文档项</w:t>
            </w:r>
          </w:p>
        </w:tc>
        <w:tc>
          <w:tcPr>
            <w:tcW w:type="dxa" w:w="71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9"/>
              </w:rPr>
              <w:t>内容</w:t>
            </w:r>
          </w:p>
        </w:tc>
      </w:tr>
      <w:tr>
        <w:trPr>
          <w:cantSplit/>
        </w:trPr>
        <w:tc>
          <w:tcPr>
            <w:tcW w:type="dxa" w:w="2200"/>
            <w:vAlign w:val="center"/>
          </w:tcPr>
          <w:p>
            <w:pPr>
              <w:spacing w:before="20" w:after="40" w:line="252" w:lineRule="auto"/>
            </w:pPr>
            <w:r>
              <w:rPr>
                <w:rFonts w:ascii="Microsoft YaHei" w:hAnsi="Microsoft YaHei" w:eastAsia="Microsoft YaHei"/>
                <w:color w:val="1F2933"/>
                <w:sz w:val="19"/>
              </w:rPr>
              <w:t>文档版本</w:t>
            </w:r>
          </w:p>
        </w:tc>
        <w:tc>
          <w:tcPr>
            <w:tcW w:type="dxa" w:w="7160"/>
            <w:vAlign w:val="center"/>
          </w:tcPr>
          <w:p>
            <w:r>
              <w:t>V0.1-baseline-02</w:t>
            </w:r>
          </w:p>
        </w:tc>
      </w:tr>
      <w:tr>
        <w:trPr>
          <w:cantSplit/>
        </w:trPr>
        <w:tc>
          <w:tcPr>
            <w:tcW w:type="dxa" w:w="2200"/>
            <w:vAlign w:val="center"/>
          </w:tcPr>
          <w:p>
            <w:pPr>
              <w:spacing w:before="20" w:after="40" w:line="252" w:lineRule="auto"/>
            </w:pPr>
            <w:r>
              <w:rPr>
                <w:rFonts w:ascii="Microsoft YaHei" w:hAnsi="Microsoft YaHei" w:eastAsia="Microsoft YaHei"/>
                <w:color w:val="1F2933"/>
                <w:sz w:val="19"/>
              </w:rPr>
              <w:t>文档状态</w:t>
            </w:r>
          </w:p>
        </w:tc>
        <w:tc>
          <w:tcPr>
            <w:tcW w:type="dxa" w:w="7160"/>
            <w:vAlign w:val="center"/>
          </w:tcPr>
          <w:p>
            <w:r>
              <w:t>已批准基线更新版；已同步截至 2026-08-21 的明确产品决策</w:t>
            </w:r>
          </w:p>
        </w:tc>
      </w:tr>
      <w:tr>
        <w:trPr>
          <w:cantSplit/>
        </w:trPr>
        <w:tc>
          <w:tcPr>
            <w:tcW w:type="dxa" w:w="2200"/>
            <w:vAlign w:val="center"/>
          </w:tcPr>
          <w:p>
            <w:pPr>
              <w:spacing w:before="20" w:after="40" w:line="252" w:lineRule="auto"/>
            </w:pPr>
            <w:r>
              <w:rPr>
                <w:rFonts w:ascii="Microsoft YaHei" w:hAnsi="Microsoft YaHei" w:eastAsia="Microsoft YaHei"/>
                <w:color w:val="1F2933"/>
                <w:sz w:val="19"/>
              </w:rPr>
              <w:t>编制日期</w:t>
            </w:r>
          </w:p>
        </w:tc>
        <w:tc>
          <w:tcPr>
            <w:tcW w:type="dxa" w:w="7160"/>
            <w:vAlign w:val="center"/>
          </w:tcPr>
          <w:p>
            <w:r>
              <w:t>2026-08-21</w:t>
            </w:r>
          </w:p>
        </w:tc>
      </w:tr>
      <w:tr>
        <w:trPr>
          <w:cantSplit/>
        </w:trPr>
        <w:tc>
          <w:tcPr>
            <w:tcW w:type="dxa" w:w="2200"/>
            <w:vAlign w:val="center"/>
          </w:tcPr>
          <w:p>
            <w:pPr>
              <w:spacing w:before="20" w:after="40" w:line="252" w:lineRule="auto"/>
            </w:pPr>
            <w:r>
              <w:rPr>
                <w:rFonts w:ascii="Microsoft YaHei" w:hAnsi="Microsoft YaHei" w:eastAsia="Microsoft YaHei"/>
                <w:color w:val="1F2933"/>
                <w:sz w:val="19"/>
              </w:rPr>
              <w:t>产品目标</w:t>
            </w:r>
          </w:p>
        </w:tc>
        <w:tc>
          <w:tcPr>
            <w:tcW w:type="dxa" w:w="7160"/>
            <w:vAlign w:val="center"/>
          </w:tcPr>
          <w:p>
            <w:pPr>
              <w:spacing w:before="20" w:after="40" w:line="252" w:lineRule="auto"/>
            </w:pPr>
            <w:r>
              <w:rPr>
                <w:rFonts w:ascii="Microsoft YaHei" w:hAnsi="Microsoft YaHei" w:eastAsia="Microsoft YaHei"/>
                <w:color w:val="1F2933"/>
                <w:sz w:val="19"/>
              </w:rPr>
              <w:t>搭建可完整运行、可连续循环、局内外数据正确流转的功能骨架</w:t>
            </w:r>
          </w:p>
        </w:tc>
      </w:tr>
      <w:tr>
        <w:trPr>
          <w:cantSplit/>
        </w:trPr>
        <w:tc>
          <w:tcPr>
            <w:tcW w:type="dxa" w:w="2200"/>
            <w:vAlign w:val="center"/>
          </w:tcPr>
          <w:p>
            <w:pPr>
              <w:spacing w:before="20" w:after="40" w:line="252" w:lineRule="auto"/>
            </w:pPr>
            <w:r>
              <w:rPr>
                <w:rFonts w:ascii="Microsoft YaHei" w:hAnsi="Microsoft YaHei" w:eastAsia="Microsoft YaHei"/>
                <w:color w:val="1F2933"/>
                <w:sz w:val="19"/>
              </w:rPr>
              <w:t>目标读者</w:t>
            </w:r>
          </w:p>
        </w:tc>
        <w:tc>
          <w:tcPr>
            <w:tcW w:type="dxa" w:w="7160"/>
            <w:vAlign w:val="center"/>
          </w:tcPr>
          <w:p>
            <w:pPr>
              <w:spacing w:before="20" w:after="40" w:line="252" w:lineRule="auto"/>
            </w:pPr>
            <w:r>
              <w:rPr>
                <w:rFonts w:ascii="Microsoft YaHei" w:hAnsi="Microsoft YaHei" w:eastAsia="Microsoft YaHei"/>
                <w:color w:val="1F2933"/>
                <w:sz w:val="19"/>
              </w:rPr>
              <w:t>产品负责人、Codex、测试与后续维护者</w:t>
            </w:r>
          </w:p>
        </w:tc>
      </w:tr>
      <w:tr>
        <w:trPr>
          <w:cantSplit/>
        </w:trPr>
        <w:tc>
          <w:tcPr>
            <w:tcW w:type="dxa" w:w="2200"/>
            <w:vAlign w:val="center"/>
          </w:tcPr>
          <w:p>
            <w:pPr>
              <w:spacing w:before="20" w:after="40" w:line="252" w:lineRule="auto"/>
            </w:pPr>
            <w:r>
              <w:rPr>
                <w:rFonts w:ascii="Microsoft YaHei" w:hAnsi="Microsoft YaHei" w:eastAsia="Microsoft YaHei"/>
                <w:color w:val="1F2933"/>
                <w:sz w:val="19"/>
              </w:rPr>
              <w:t>规范优先级</w:t>
            </w:r>
          </w:p>
        </w:tc>
        <w:tc>
          <w:tcPr>
            <w:tcW w:type="dxa" w:w="7160"/>
            <w:vAlign w:val="center"/>
          </w:tcPr>
          <w:p>
            <w:r>
              <w:t>用户最新明确决策 &gt; 本规范 &gt; 经批准的任务说明 &gt; 实现</w:t>
            </w:r>
          </w:p>
        </w:tc>
      </w:tr>
    </w:tbl>
    <w:p>
      <w:pPr>
        <w:spacing w:after="0"/>
      </w:pPr>
    </w:p>
    <w:p>
      <w:pPr>
        <w:keepLines/>
        <w:spacing w:before="80" w:after="160"/>
        <w:ind w:left="144" w:right="86"/>
        <w:shd w:fill="EAF2F8"/>
        <w:pBdr>
          <w:left w:val="single" w:sz="18" w:space="6" w:color="1F4D78"/>
        </w:pBdr>
      </w:pPr>
      <w:r>
        <w:t>核心判定  V0.1 只回答“完整功能链能不能用”，不回答“好不好玩”。正式美术精度、正式平衡、正式经济与节奏不构成 V0.1 成败标准；但核心搜刮 UI、二维格子、未知遮罩、品质/价值反馈与基础揭晓动画属于必须通过的功能表现。</w:t>
      </w:r>
    </w:p>
    <w:p>
      <w:pPr>
        <w:keepLines/>
        <w:spacing w:before="80" w:after="160"/>
        <w:ind w:left="144" w:right="86"/>
        <w:shd w:fill="FDECEC"/>
        <w:pBdr>
          <w:left w:val="single" w:sz="18" w:space="6" w:color="9B1C1C"/>
        </w:pBdr>
      </w:pPr>
      <w:r>
        <w:rPr>
          <w:rFonts w:ascii="Microsoft YaHei" w:hAnsi="Microsoft YaHei" w:eastAsia="Microsoft YaHei"/>
          <w:b/>
          <w:color w:val="9B1C1C"/>
          <w:sz w:val="21"/>
        </w:rPr>
        <w:t xml:space="preserve">Codex 停工红线  </w:t>
      </w:r>
      <w:r>
        <w:rPr>
          <w:rFonts w:ascii="Microsoft YaHei" w:hAnsi="Microsoft YaHei" w:eastAsia="Microsoft YaHei"/>
          <w:color w:val="1F2933"/>
          <w:sz w:val="21"/>
        </w:rPr>
        <w:t>凡标记为“未确定 / TBD”的事项，Codex MUST NOT 自行选方案、填默认值或依据行业惯例推断；若任务依赖该事项，MUST 停止相关实现并请求产品决策。</w:t>
      </w:r>
    </w:p>
    <w:p>
      <w:pPr>
        <w:pStyle w:val="Heading1"/>
        <w:keepNext/>
      </w:pPr>
      <w:r>
        <w:t>0. 如何使用本规范</w:t>
      </w:r>
    </w:p>
    <w:p>
      <w:pPr>
        <w:keepLines w:val="0"/>
      </w:pPr>
      <w:r>
        <w:rPr>
          <w:rFonts w:ascii="Microsoft YaHei" w:hAnsi="Microsoft YaHei" w:eastAsia="Microsoft YaHei"/>
          <w:color w:val="1F2933"/>
        </w:rPr>
        <w:t>本文件是 Prototype V0.1 的产品边界、工程约束、验收标准和 Codex 工作协议。每个开发任务开始前 MUST 先读取本文；每个交付任务结束前 MUST 逐项执行本文的自查与验收。</w:t>
      </w:r>
    </w:p>
    <w:p>
      <w:pPr>
        <w:pStyle w:val="Heading2"/>
        <w:keepNext/>
      </w:pPr>
      <w:r>
        <w:t>0.1 规范性用语</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400"/>
        <w:gridCol w:w="1500"/>
        <w:gridCol w:w="6460"/>
      </w:tblGrid>
      <w:tr>
        <w:trPr>
          <w:tblHeader w:val="true"/>
          <w:cantSplit/>
        </w:trPr>
        <w:tc>
          <w:tcPr>
            <w:tcW w:type="dxa" w:w="14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用语</w:t>
            </w:r>
          </w:p>
        </w:tc>
        <w:tc>
          <w:tcPr>
            <w:tcW w:type="dxa" w:w="15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约束强度</w:t>
            </w:r>
          </w:p>
        </w:tc>
        <w:tc>
          <w:tcPr>
            <w:tcW w:type="dxa" w:w="64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含义</w:t>
            </w:r>
          </w:p>
        </w:tc>
      </w:tr>
      <w:tr>
        <w:trPr>
          <w:cantSplit/>
        </w:trPr>
        <w:tc>
          <w:tcPr>
            <w:tcW w:type="dxa" w:w="1400"/>
            <w:vAlign w:val="center"/>
          </w:tcPr>
          <w:p>
            <w:pPr>
              <w:spacing w:before="20" w:after="40" w:line="252" w:lineRule="auto"/>
            </w:pPr>
            <w:r>
              <w:rPr>
                <w:rFonts w:ascii="Microsoft YaHei" w:hAnsi="Microsoft YaHei" w:eastAsia="Microsoft YaHei"/>
                <w:color w:val="1F2933"/>
                <w:sz w:val="18"/>
              </w:rPr>
              <w:t>MUST / 必须</w:t>
            </w:r>
          </w:p>
        </w:tc>
        <w:tc>
          <w:tcPr>
            <w:tcW w:type="dxa" w:w="1500"/>
            <w:vAlign w:val="center"/>
          </w:tcPr>
          <w:p>
            <w:pPr>
              <w:spacing w:before="20" w:after="40" w:line="252" w:lineRule="auto"/>
            </w:pPr>
            <w:r>
              <w:rPr>
                <w:rFonts w:ascii="Microsoft YaHei" w:hAnsi="Microsoft YaHei" w:eastAsia="Microsoft YaHei"/>
                <w:color w:val="1F2933"/>
                <w:sz w:val="18"/>
              </w:rPr>
              <w:t>强制</w:t>
            </w:r>
          </w:p>
        </w:tc>
        <w:tc>
          <w:tcPr>
            <w:tcW w:type="dxa" w:w="6460"/>
            <w:vAlign w:val="center"/>
          </w:tcPr>
          <w:p>
            <w:pPr>
              <w:spacing w:before="20" w:after="40" w:line="252" w:lineRule="auto"/>
            </w:pPr>
            <w:r>
              <w:rPr>
                <w:rFonts w:ascii="Microsoft YaHei" w:hAnsi="Microsoft YaHei" w:eastAsia="Microsoft YaHei"/>
                <w:color w:val="1F2933"/>
                <w:sz w:val="18"/>
              </w:rPr>
              <w:t>不满足即不合规；不得以便利、工期或常见做法替代。</w:t>
            </w:r>
          </w:p>
        </w:tc>
      </w:tr>
      <w:tr>
        <w:trPr>
          <w:cantSplit/>
        </w:trPr>
        <w:tc>
          <w:tcPr>
            <w:tcW w:type="dxa" w:w="1400"/>
            <w:vAlign w:val="center"/>
          </w:tcPr>
          <w:p>
            <w:pPr>
              <w:spacing w:before="20" w:after="40" w:line="252" w:lineRule="auto"/>
            </w:pPr>
            <w:r>
              <w:rPr>
                <w:rFonts w:ascii="Microsoft YaHei" w:hAnsi="Microsoft YaHei" w:eastAsia="Microsoft YaHei"/>
                <w:color w:val="1F2933"/>
                <w:sz w:val="18"/>
              </w:rPr>
              <w:t>MUST NOT / 禁止</w:t>
            </w:r>
          </w:p>
        </w:tc>
        <w:tc>
          <w:tcPr>
            <w:tcW w:type="dxa" w:w="1500"/>
            <w:vAlign w:val="center"/>
          </w:tcPr>
          <w:p>
            <w:pPr>
              <w:spacing w:before="20" w:after="40" w:line="252" w:lineRule="auto"/>
            </w:pPr>
            <w:r>
              <w:rPr>
                <w:rFonts w:ascii="Microsoft YaHei" w:hAnsi="Microsoft YaHei" w:eastAsia="Microsoft YaHei"/>
                <w:color w:val="1F2933"/>
                <w:sz w:val="18"/>
              </w:rPr>
              <w:t>强制禁止</w:t>
            </w:r>
          </w:p>
        </w:tc>
        <w:tc>
          <w:tcPr>
            <w:tcW w:type="dxa" w:w="6460"/>
            <w:vAlign w:val="center"/>
          </w:tcPr>
          <w:p>
            <w:pPr>
              <w:spacing w:before="20" w:after="40" w:line="252" w:lineRule="auto"/>
            </w:pPr>
            <w:r>
              <w:rPr>
                <w:rFonts w:ascii="Microsoft YaHei" w:hAnsi="Microsoft YaHei" w:eastAsia="Microsoft YaHei"/>
                <w:color w:val="1F2933"/>
                <w:sz w:val="18"/>
              </w:rPr>
              <w:t>任何情况下不得执行，除非产品负责人通过变更流程明确修改规范。</w:t>
            </w:r>
          </w:p>
        </w:tc>
      </w:tr>
      <w:tr>
        <w:trPr>
          <w:cantSplit/>
        </w:trPr>
        <w:tc>
          <w:tcPr>
            <w:tcW w:type="dxa" w:w="1400"/>
            <w:vAlign w:val="center"/>
          </w:tcPr>
          <w:p>
            <w:pPr>
              <w:spacing w:before="20" w:after="40" w:line="252" w:lineRule="auto"/>
            </w:pPr>
            <w:r>
              <w:rPr>
                <w:rFonts w:ascii="Microsoft YaHei" w:hAnsi="Microsoft YaHei" w:eastAsia="Microsoft YaHei"/>
                <w:color w:val="1F2933"/>
                <w:sz w:val="18"/>
              </w:rPr>
              <w:t>SHOULD / 应当</w:t>
            </w:r>
          </w:p>
        </w:tc>
        <w:tc>
          <w:tcPr>
            <w:tcW w:type="dxa" w:w="1500"/>
            <w:vAlign w:val="center"/>
          </w:tcPr>
          <w:p>
            <w:pPr>
              <w:spacing w:before="20" w:after="40" w:line="252" w:lineRule="auto"/>
            </w:pPr>
            <w:r>
              <w:rPr>
                <w:rFonts w:ascii="Microsoft YaHei" w:hAnsi="Microsoft YaHei" w:eastAsia="Microsoft YaHei"/>
                <w:color w:val="1F2933"/>
                <w:sz w:val="18"/>
              </w:rPr>
              <w:t>原则性要求</w:t>
            </w:r>
          </w:p>
        </w:tc>
        <w:tc>
          <w:tcPr>
            <w:tcW w:type="dxa" w:w="6460"/>
            <w:vAlign w:val="center"/>
          </w:tcPr>
          <w:p>
            <w:pPr>
              <w:spacing w:before="20" w:after="40" w:line="252" w:lineRule="auto"/>
            </w:pPr>
            <w:r>
              <w:rPr>
                <w:rFonts w:ascii="Microsoft YaHei" w:hAnsi="Microsoft YaHei" w:eastAsia="Microsoft YaHei"/>
                <w:color w:val="1F2933"/>
                <w:sz w:val="18"/>
              </w:rPr>
              <w:t>默认必须遵守；若偏离，交付说明中必须写明理由、影响与替代验证。</w:t>
            </w:r>
          </w:p>
        </w:tc>
      </w:tr>
      <w:tr>
        <w:trPr>
          <w:cantSplit/>
        </w:trPr>
        <w:tc>
          <w:tcPr>
            <w:tcW w:type="dxa" w:w="1400"/>
            <w:vAlign w:val="center"/>
          </w:tcPr>
          <w:p>
            <w:pPr>
              <w:spacing w:before="20" w:after="40" w:line="252" w:lineRule="auto"/>
            </w:pPr>
            <w:r>
              <w:rPr>
                <w:rFonts w:ascii="Microsoft YaHei" w:hAnsi="Microsoft YaHei" w:eastAsia="Microsoft YaHei"/>
                <w:color w:val="1F2933"/>
                <w:sz w:val="18"/>
              </w:rPr>
              <w:t>MAY / 可以</w:t>
            </w:r>
          </w:p>
        </w:tc>
        <w:tc>
          <w:tcPr>
            <w:tcW w:type="dxa" w:w="1500"/>
            <w:vAlign w:val="center"/>
          </w:tcPr>
          <w:p>
            <w:pPr>
              <w:spacing w:before="20" w:after="40" w:line="252" w:lineRule="auto"/>
            </w:pPr>
            <w:r>
              <w:rPr>
                <w:rFonts w:ascii="Microsoft YaHei" w:hAnsi="Microsoft YaHei" w:eastAsia="Microsoft YaHei"/>
                <w:color w:val="1F2933"/>
                <w:sz w:val="18"/>
              </w:rPr>
              <w:t>许可</w:t>
            </w:r>
          </w:p>
        </w:tc>
        <w:tc>
          <w:tcPr>
            <w:tcW w:type="dxa" w:w="6460"/>
            <w:vAlign w:val="center"/>
          </w:tcPr>
          <w:p>
            <w:pPr>
              <w:spacing w:before="20" w:after="40" w:line="252" w:lineRule="auto"/>
            </w:pPr>
            <w:r>
              <w:rPr>
                <w:rFonts w:ascii="Microsoft YaHei" w:hAnsi="Microsoft YaHei" w:eastAsia="Microsoft YaHei"/>
                <w:color w:val="1F2933"/>
                <w:sz w:val="18"/>
              </w:rPr>
              <w:t>在不改变已确认产品行为且不触碰未决事项时可选。</w:t>
            </w:r>
          </w:p>
        </w:tc>
      </w:tr>
      <w:tr>
        <w:trPr>
          <w:cantSplit/>
        </w:trPr>
        <w:tc>
          <w:tcPr>
            <w:tcW w:type="dxa" w:w="1400"/>
            <w:vAlign w:val="center"/>
          </w:tcPr>
          <w:p>
            <w:pPr>
              <w:spacing w:before="20" w:after="40" w:line="252" w:lineRule="auto"/>
            </w:pPr>
            <w:r>
              <w:rPr>
                <w:rFonts w:ascii="Microsoft YaHei" w:hAnsi="Microsoft YaHei" w:eastAsia="Microsoft YaHei"/>
                <w:color w:val="1F2933"/>
                <w:sz w:val="18"/>
              </w:rPr>
              <w:t>TBD / 未确定</w:t>
            </w:r>
          </w:p>
        </w:tc>
        <w:tc>
          <w:tcPr>
            <w:tcW w:type="dxa" w:w="1500"/>
            <w:vAlign w:val="center"/>
          </w:tcPr>
          <w:p>
            <w:pPr>
              <w:spacing w:before="20" w:after="40" w:line="252" w:lineRule="auto"/>
            </w:pPr>
            <w:r>
              <w:rPr>
                <w:rFonts w:ascii="Microsoft YaHei" w:hAnsi="Microsoft YaHei" w:eastAsia="Microsoft YaHei"/>
                <w:color w:val="1F2933"/>
                <w:sz w:val="18"/>
              </w:rPr>
              <w:t>停工点</w:t>
            </w:r>
          </w:p>
        </w:tc>
        <w:tc>
          <w:tcPr>
            <w:tcW w:type="dxa" w:w="6460"/>
            <w:vAlign w:val="center"/>
          </w:tcPr>
          <w:p>
            <w:pPr>
              <w:spacing w:before="20" w:after="40" w:line="252" w:lineRule="auto"/>
            </w:pPr>
            <w:r>
              <w:rPr>
                <w:rFonts w:ascii="Microsoft YaHei" w:hAnsi="Microsoft YaHei" w:eastAsia="Microsoft YaHei"/>
                <w:color w:val="1F2933"/>
                <w:sz w:val="18"/>
              </w:rPr>
              <w:t>产品尚未决策；不得实现为产品规则。</w:t>
            </w:r>
          </w:p>
        </w:tc>
      </w:tr>
    </w:tbl>
    <w:p>
      <w:pPr>
        <w:spacing w:after="0"/>
      </w:pPr>
    </w:p>
    <w:p>
      <w:pPr>
        <w:pStyle w:val="Heading2"/>
        <w:keepNext/>
      </w:pPr>
      <w:r>
        <w:t>0.2 需求状态分类</w:t>
      </w:r>
    </w:p>
    <w:p>
      <w:pPr>
        <w:pStyle w:val="ListBullet"/>
      </w:pPr>
      <w:r>
        <w:rPr>
          <w:rFonts w:ascii="Microsoft YaHei" w:hAnsi="Microsoft YaHei" w:eastAsia="Microsoft YaHei"/>
          <w:color w:val="1F2933"/>
        </w:rPr>
        <w:t>已确认：可直接作为开发和验收依据；任何修改都必须走变更控制。</w:t>
      </w:r>
    </w:p>
    <w:p>
      <w:pPr>
        <w:pStyle w:val="ListBullet"/>
      </w:pPr>
      <w:r>
        <w:rPr>
          <w:rFonts w:ascii="Microsoft YaHei" w:hAnsi="Microsoft YaHei" w:eastAsia="Microsoft YaHei"/>
          <w:color w:val="1F2933"/>
        </w:rPr>
        <w:t>暂定：V0.1 必须按当前值实现，但产品可在后续通过变更控制调整；不得擅改。</w:t>
      </w:r>
    </w:p>
    <w:p>
      <w:pPr>
        <w:pStyle w:val="ListBullet"/>
      </w:pPr>
      <w:r>
        <w:rPr>
          <w:rFonts w:ascii="Microsoft YaHei" w:hAnsi="Microsoft YaHei" w:eastAsia="Microsoft YaHei"/>
          <w:color w:val="1F2933"/>
        </w:rPr>
        <w:t>未确定：不得自行决定。若实现可以与其解耦，MAY 仅预留数据接口；若会影响行为，MUST 停止并提问。</w:t>
      </w:r>
    </w:p>
    <w:p>
      <w:r>
        <w:br w:type="page"/>
      </w:r>
    </w:p>
    <w:p>
      <w:pPr>
        <w:pStyle w:val="Heading1"/>
        <w:keepNext/>
      </w:pPr>
      <w:r>
        <w:t>1. 产品定义与阶段目标</w:t>
      </w:r>
    </w:p>
    <w:p>
      <w:pPr>
        <w:pStyle w:val="Heading2"/>
        <w:keepNext/>
      </w:pPr>
      <w:r>
        <w:t>1.1 产品定位（已确认）</w:t>
      </w:r>
    </w:p>
    <w:p>
      <w:pPr>
        <w:pStyle w:val="ListBullet"/>
      </w:pPr>
      <w:r>
        <w:rPr>
          <w:rFonts w:ascii="Microsoft YaHei" w:hAnsi="Microsoft YaHei" w:eastAsia="Microsoft YaHei"/>
          <w:color w:val="1F2933"/>
        </w:rPr>
        <w:t>产品 MUST 是“超轻量、规则明朗的格子搜撤游戏”。</w:t>
      </w:r>
    </w:p>
    <w:p>
      <w:pPr>
        <w:pStyle w:val="ListBullet"/>
      </w:pPr>
      <w:r>
        <w:rPr>
          <w:rFonts w:ascii="Microsoft YaHei" w:hAnsi="Microsoft YaHei" w:eastAsia="Microsoft YaHei"/>
          <w:color w:val="1F2933"/>
        </w:rPr>
        <w:t>核心体验与系统 MUST 围绕：进入地图、搜索容器、揭晓物品、格子整理、撤离结算、仓库出售。</w:t>
      </w:r>
    </w:p>
    <w:p>
      <w:pPr>
        <w:pStyle w:val="ListBullet"/>
      </w:pPr>
      <w:r>
        <w:rPr>
          <w:rFonts w:ascii="Microsoft YaHei" w:hAnsi="Microsoft YaHei" w:eastAsia="Microsoft YaHei"/>
          <w:color w:val="1F2933"/>
        </w:rPr>
        <w:t>产品 MUST NOT 被定义或包装为盗墓、墓穴、摸金题材；早期对话中的盗墓表达仅是被否决的历史方向。</w:t>
      </w:r>
    </w:p>
    <w:p>
      <w:pPr>
        <w:pStyle w:val="ListBullet"/>
      </w:pPr>
      <w:r>
        <w:rPr>
          <w:rFonts w:ascii="Microsoft YaHei" w:hAnsi="Microsoft YaHei" w:eastAsia="Microsoft YaHei"/>
          <w:color w:val="1F2933"/>
        </w:rPr>
        <w:t>未来危险内容 SHOULD 通过事件与选项加入，而不是默认扩展为战斗系统。</w:t>
      </w:r>
    </w:p>
    <w:p>
      <w:pPr>
        <w:pStyle w:val="ListBullet"/>
      </w:pPr>
      <w:r>
        <w:rPr>
          <w:rFonts w:ascii="Microsoft YaHei" w:hAnsi="Microsoft YaHei" w:eastAsia="Microsoft YaHei"/>
          <w:color w:val="1F2933"/>
        </w:rPr>
        <w:t>目标平台方向倾向微信小游戏或 PC 轻量小游戏；V0.1 的具体首发平台、技术栈和输入方案仍为未确定。</w:t>
      </w:r>
    </w:p>
    <w:p>
      <w:pPr>
        <w:pStyle w:val="Heading2"/>
        <w:keepNext/>
      </w:pPr>
      <w:r>
        <w:t>1.2 V0.1 唯一目标（已确认）</w:t>
      </w:r>
    </w:p>
    <w:p>
      <w:pPr>
        <w:keepLines w:val="0"/>
      </w:pPr>
      <w:r>
        <w:rPr>
          <w:rFonts w:ascii="Microsoft YaHei" w:hAnsi="Microsoft YaHei" w:eastAsia="Microsoft YaHei"/>
          <w:color w:val="1F2933"/>
        </w:rPr>
        <w:t>V0.1 MUST 构建一套可实际运行、可完整打一局、可结算、可再次开局的技术原型 / 功能骨架。唯一核心问题是：“我们能不能把这套游戏的基本功能从头到尾真正跑起来？”</w:t>
      </w:r>
    </w:p>
    <w:p>
      <w:pPr>
        <w:keepLines w:val="0"/>
      </w:pPr>
      <w:r>
        <w:rPr>
          <w:rFonts w:ascii="Microsoft YaHei" w:hAnsi="Microsoft YaHei" w:eastAsia="Microsoft YaHei"/>
          <w:color w:val="1F2933"/>
        </w:rPr>
        <w:t>V0.1 MUST 完整跑通以下闭环：</w:t>
      </w:r>
    </w:p>
    <w:p>
      <w:pPr>
        <w:keepLines/>
        <w:spacing w:before="80" w:after="160"/>
        <w:ind w:left="144" w:right="86"/>
        <w:shd w:fill="EAF2F8"/>
        <w:pBdr>
          <w:left w:val="single" w:sz="18" w:space="6" w:color="1F4D78"/>
        </w:pBdr>
      </w:pPr>
      <w:r>
        <w:rPr>
          <w:rFonts w:ascii="Microsoft YaHei" w:hAnsi="Microsoft YaHei" w:eastAsia="Microsoft YaHei"/>
          <w:b/>
          <w:color w:val="1F4D78"/>
          <w:sz w:val="21"/>
        </w:rPr>
        <w:t xml:space="preserve">强制功能链  </w:t>
      </w:r>
      <w:r>
        <w:rPr>
          <w:rFonts w:ascii="Microsoft YaHei" w:hAnsi="Microsoft YaHei" w:eastAsia="Microsoft YaHei"/>
          <w:color w:val="1F2933"/>
          <w:sz w:val="21"/>
        </w:rPr>
        <w:t>启动游戏 → 局外 → 购买/选择背包并扣款 → 进入地图 → 3 分钟对局 → 搜索容器 → 遮罩物品逐件揭晓 → 拾取与格子整理 → 安全箱管理 → 完成 5 个容器搜索 → 解锁撤离 → 15 秒撤离 → 成功/失败结算 → 仓库 → 出售 → 货币变化 → 再开下一局。</w:t>
      </w:r>
    </w:p>
    <w:p>
      <w:pPr>
        <w:pStyle w:val="Heading2"/>
        <w:keepNext/>
      </w:pPr>
      <w:r>
        <w:t>1.3 V0.1 非目标（强制排除）</w:t>
      </w:r>
    </w:p>
    <w:p>
      <w:pPr>
        <w:pStyle w:val="ListBullet"/>
      </w:pPr>
      <w:r>
        <w:rPr>
          <w:rFonts w:ascii="Microsoft YaHei" w:hAnsi="Microsoft YaHei" w:eastAsia="Microsoft YaHei"/>
          <w:color w:val="1F2933"/>
        </w:rPr>
        <w:t>MUST NOT 以“是否好玩、是否上瘾、是否紧张、是否愿意连玩”为验收标准。</w:t>
      </w:r>
    </w:p>
    <w:p>
      <w:pPr>
        <w:pStyle w:val="ListBullet"/>
      </w:pPr>
      <w:r>
        <w:rPr>
          <w:rFonts w:ascii="Microsoft YaHei" w:hAnsi="Microsoft YaHei" w:eastAsia="Microsoft YaHei"/>
          <w:color w:val="1F2933"/>
        </w:rPr>
        <w:t>MUST NOT 实现战斗、敌人、武器、生命值、伤害、死亡战斗流程或相关数值。</w:t>
      </w:r>
    </w:p>
    <w:p>
      <w:pPr>
        <w:pStyle w:val="ListBullet"/>
      </w:pPr>
      <w:r>
        <w:rPr>
          <w:rFonts w:ascii="Microsoft YaHei" w:hAnsi="Microsoft YaHei" w:eastAsia="Microsoft YaHei"/>
          <w:color w:val="1F2933"/>
        </w:rPr>
        <w:t>MUST NOT 实现账号等级、累计带出价值等级、技能树或任何成长系统。</w:t>
      </w:r>
    </w:p>
    <w:p>
      <w:pPr>
        <w:pStyle w:val="ListBullet"/>
      </w:pPr>
      <w:r>
        <w:rPr>
          <w:rFonts w:ascii="Microsoft YaHei" w:hAnsi="Microsoft YaHei" w:eastAsia="Microsoft YaHei"/>
          <w:color w:val="1F2933"/>
        </w:rPr>
        <w:t>MUST NOT 实现搜索速度、移动效率、危险判定、出售费率的升级功能。</w:t>
      </w:r>
    </w:p>
    <w:p>
      <w:pPr>
        <w:pStyle w:val="ListBullet"/>
      </w:pPr>
      <w:r>
        <w:rPr>
          <w:rFonts w:ascii="Microsoft YaHei" w:hAnsi="Microsoft YaHei" w:eastAsia="Microsoft YaHei"/>
          <w:color w:val="1F2933"/>
        </w:rPr>
        <w:t>MUST NOT 实现背包或安全箱的材料升级、材料合成或以搜到材料扩容的路径。</w:t>
      </w:r>
    </w:p>
    <w:p>
      <w:pPr>
        <w:pStyle w:val="ListBullet"/>
      </w:pPr>
      <w:r>
        <w:t>MUST NOT 为 V0.1 制作正式藏品插画、写实物品图标或复杂物品特效；物品使用品质纯色色块。该排除项不得被解释为可以省略核心搜刮 UI、格子视觉、未知遮罩、品质/价值冲击或基础揭晓反馈。</w:t>
      </w:r>
    </w:p>
    <w:p>
      <w:pPr>
        <w:pStyle w:val="ListBullet"/>
      </w:pPr>
      <w:r>
        <w:rPr>
          <w:rFonts w:ascii="Microsoft YaHei" w:hAnsi="Microsoft YaHei" w:eastAsia="Microsoft YaHei"/>
          <w:color w:val="1F2933"/>
        </w:rPr>
        <w:t>MUST NOT 因为数值失衡、掉率粗糙、地图简陋、UI 丑或节奏不佳而擅自扩大需求。</w:t>
      </w:r>
    </w:p>
    <w:p>
      <w:pPr>
        <w:pStyle w:val="ListBullet"/>
      </w:pPr>
      <w:r>
        <w:rPr>
          <w:rFonts w:ascii="Microsoft YaHei" w:hAnsi="Microsoft YaHei" w:eastAsia="Microsoft YaHei"/>
          <w:color w:val="1F2933"/>
        </w:rPr>
        <w:t>MUST NOT 擅自加入收藏图鉴、装备系统、任务系统、剧情、社交、排行榜、广告、付费或联网服务。</w:t>
      </w:r>
    </w:p>
    <w:p>
      <w:pPr>
        <w:pStyle w:val="Heading2"/>
        <w:keepNext/>
      </w:pPr>
      <w:r>
        <w:t>1.4 成功与失败的工程定义</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7660"/>
      </w:tblGrid>
      <w:tr>
        <w:trPr>
          <w:tblHeader w:val="true"/>
          <w:cantSplit/>
        </w:trPr>
        <w:tc>
          <w:tcPr>
            <w:tcW w:type="dxa" w:w="17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9"/>
              </w:rPr>
              <w:t>判定</w:t>
            </w:r>
          </w:p>
        </w:tc>
        <w:tc>
          <w:tcPr>
            <w:tcW w:type="dxa" w:w="76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9"/>
              </w:rPr>
              <w:t>属于 V0.1 结果的例子</w:t>
            </w:r>
          </w:p>
        </w:tc>
      </w:tr>
      <w:tr>
        <w:trPr>
          <w:cantSplit/>
        </w:trPr>
        <w:tc>
          <w:tcPr>
            <w:tcW w:type="dxa" w:w="1700"/>
            <w:vAlign w:val="center"/>
          </w:tcPr>
          <w:p>
            <w:pPr>
              <w:spacing w:before="20" w:after="40" w:line="252" w:lineRule="auto"/>
            </w:pPr>
            <w:r>
              <w:rPr>
                <w:rFonts w:ascii="Microsoft YaHei" w:hAnsi="Microsoft YaHei" w:eastAsia="Microsoft YaHei"/>
                <w:color w:val="1F2933"/>
                <w:sz w:val="19"/>
              </w:rPr>
              <w:t>成功</w:t>
            </w:r>
          </w:p>
        </w:tc>
        <w:tc>
          <w:tcPr>
            <w:tcW w:type="dxa" w:w="7660"/>
            <w:vAlign w:val="center"/>
          </w:tcPr>
          <w:p>
            <w:pPr>
              <w:spacing w:before="20" w:after="40" w:line="252" w:lineRule="auto"/>
            </w:pPr>
            <w:r>
              <w:rPr>
                <w:rFonts w:ascii="Microsoft YaHei" w:hAnsi="Microsoft YaHei" w:eastAsia="Microsoft YaHei"/>
                <w:color w:val="1F2933"/>
                <w:sz w:val="19"/>
              </w:rPr>
              <w:t>功能链完整且可重复；状态转换正确；物品不复制/不误丢；结算、仓库、出售和货币正确；新增配置不需改动核心流程。</w:t>
            </w:r>
          </w:p>
        </w:tc>
      </w:tr>
      <w:tr>
        <w:trPr>
          <w:cantSplit/>
        </w:trPr>
        <w:tc>
          <w:tcPr>
            <w:tcW w:type="dxa" w:w="1700"/>
            <w:vAlign w:val="center"/>
          </w:tcPr>
          <w:p>
            <w:pPr>
              <w:spacing w:before="20" w:after="40" w:line="252" w:lineRule="auto"/>
            </w:pPr>
            <w:r>
              <w:rPr>
                <w:rFonts w:ascii="Microsoft YaHei" w:hAnsi="Microsoft YaHei" w:eastAsia="Microsoft YaHei"/>
                <w:color w:val="1F2933"/>
                <w:sz w:val="19"/>
              </w:rPr>
              <w:t>失败</w:t>
            </w:r>
          </w:p>
        </w:tc>
        <w:tc>
          <w:tcPr>
            <w:tcW w:type="dxa" w:w="7660"/>
            <w:vAlign w:val="center"/>
          </w:tcPr>
          <w:p>
            <w:pPr>
              <w:spacing w:before="20" w:after="40" w:line="252" w:lineRule="auto"/>
            </w:pPr>
            <w:r>
              <w:rPr>
                <w:rFonts w:ascii="Microsoft YaHei" w:hAnsi="Microsoft YaHei" w:eastAsia="Microsoft YaHei"/>
                <w:color w:val="1F2933"/>
                <w:sz w:val="19"/>
              </w:rPr>
              <w:t>流程卡死；拖拽/旋转占格错误；物品重叠、越界、复制或凭空消失；安全箱结算错误；倒计时冲突；重复结算；第二局状态污染。</w:t>
            </w:r>
          </w:p>
        </w:tc>
      </w:tr>
      <w:tr>
        <w:trPr>
          <w:cantSplit/>
        </w:trPr>
        <w:tc>
          <w:tcPr>
            <w:tcW w:type="dxa" w:w="1700"/>
            <w:vAlign w:val="center"/>
          </w:tcPr>
          <w:p>
            <w:pPr>
              <w:spacing w:before="20" w:after="40" w:line="252" w:lineRule="auto"/>
            </w:pPr>
            <w:r>
              <w:rPr>
                <w:rFonts w:ascii="Microsoft YaHei" w:hAnsi="Microsoft YaHei" w:eastAsia="Microsoft YaHei"/>
                <w:color w:val="1F2933"/>
                <w:sz w:val="19"/>
              </w:rPr>
              <w:t>不用于判定</w:t>
            </w:r>
          </w:p>
        </w:tc>
        <w:tc>
          <w:tcPr>
            <w:tcW w:type="dxa" w:w="7660"/>
            <w:vAlign w:val="center"/>
          </w:tcPr>
          <w:p>
            <w:pPr>
              <w:spacing w:before="20" w:after="40" w:line="252" w:lineRule="auto"/>
            </w:pPr>
            <w:r>
              <w:rPr>
                <w:rFonts w:ascii="Microsoft YaHei" w:hAnsi="Microsoft YaHei" w:eastAsia="Microsoft YaHei"/>
                <w:color w:val="1F2933"/>
                <w:sz w:val="19"/>
              </w:rPr>
              <w:t>是否好玩；掉率是否合理；经济是否通胀；3 分钟是否最佳；背包大小是否舒服；搜索节奏是否刺激；画面是否精美。</w:t>
            </w:r>
          </w:p>
        </w:tc>
      </w:tr>
    </w:tbl>
    <w:p>
      <w:pPr>
        <w:spacing w:after="0"/>
      </w:pPr>
    </w:p>
    <w:p>
      <w:r>
        <w:br w:type="page"/>
      </w:r>
    </w:p>
    <w:p>
      <w:pPr>
        <w:pStyle w:val="Heading1"/>
        <w:keepNext/>
      </w:pPr>
      <w:r>
        <w:t>2. 需求状态总表</w:t>
      </w:r>
    </w:p>
    <w:p>
      <w:pPr>
        <w:keepLines w:val="0"/>
      </w:pPr>
      <w:r>
        <w:rPr>
          <w:rFonts w:ascii="Microsoft YaHei" w:hAnsi="Microsoft YaHei" w:eastAsia="Microsoft YaHei"/>
          <w:color w:val="1F2933"/>
        </w:rPr>
        <w:t>本节是状态索引。详细规则以对应正文为准。</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900"/>
        <w:gridCol w:w="2450"/>
        <w:gridCol w:w="1450"/>
        <w:gridCol w:w="4560"/>
      </w:tblGrid>
      <w:tr>
        <w:trPr>
          <w:tblHeader w:val="true"/>
          <w:cantSplit/>
        </w:trPr>
        <w:tc>
          <w:tcPr>
            <w:tcW w:type="dxa" w:w="9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ID</w:t>
            </w:r>
          </w:p>
        </w:tc>
        <w:tc>
          <w:tcPr>
            <w:tcW w:type="dxa" w:w="245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事项</w:t>
            </w:r>
          </w:p>
        </w:tc>
        <w:tc>
          <w:tcPr>
            <w:tcW w:type="dxa" w:w="145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状态</w:t>
            </w:r>
          </w:p>
        </w:tc>
        <w:tc>
          <w:tcPr>
            <w:tcW w:type="dxa" w:w="45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V0.1 约束</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S-01</w:t>
            </w:r>
          </w:p>
        </w:tc>
        <w:tc>
          <w:tcPr>
            <w:tcW w:type="dxa" w:w="2450"/>
            <w:vAlign w:val="center"/>
          </w:tcPr>
          <w:p>
            <w:pPr>
              <w:spacing w:before="20" w:after="40" w:line="252" w:lineRule="auto"/>
            </w:pPr>
            <w:r>
              <w:rPr>
                <w:rFonts w:ascii="Microsoft YaHei" w:hAnsi="Microsoft YaHei" w:eastAsia="Microsoft YaHei"/>
                <w:color w:val="1F2933"/>
                <w:sz w:val="17"/>
              </w:rPr>
              <w:t>产品题材</w:t>
            </w:r>
          </w:p>
        </w:tc>
        <w:tc>
          <w:tcPr>
            <w:tcW w:type="dxa" w:w="1450"/>
            <w:vAlign w:val="center"/>
          </w:tcPr>
          <w:p>
            <w:pPr>
              <w:spacing w:before="20" w:after="40" w:line="252" w:lineRule="auto"/>
            </w:pPr>
            <w:r>
              <w:rPr>
                <w:rFonts w:ascii="Microsoft YaHei" w:hAnsi="Microsoft YaHei" w:eastAsia="Microsoft YaHei"/>
                <w:color w:val="1F2933"/>
                <w:sz w:val="17"/>
              </w:rPr>
              <w:t>已确认</w:t>
            </w:r>
          </w:p>
        </w:tc>
        <w:tc>
          <w:tcPr>
            <w:tcW w:type="dxa" w:w="4560"/>
            <w:vAlign w:val="center"/>
          </w:tcPr>
          <w:p>
            <w:pPr>
              <w:spacing w:before="20" w:after="40" w:line="252" w:lineRule="auto"/>
            </w:pPr>
            <w:r>
              <w:rPr>
                <w:rFonts w:ascii="Microsoft YaHei" w:hAnsi="Microsoft YaHei" w:eastAsia="Microsoft YaHei"/>
                <w:color w:val="1F2933"/>
                <w:sz w:val="17"/>
              </w:rPr>
              <w:t>超轻量格子搜撤；非盗墓题材。</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S-02</w:t>
            </w:r>
          </w:p>
        </w:tc>
        <w:tc>
          <w:tcPr>
            <w:tcW w:type="dxa" w:w="2450"/>
            <w:vAlign w:val="center"/>
          </w:tcPr>
          <w:p>
            <w:pPr>
              <w:spacing w:before="20" w:after="40" w:line="252" w:lineRule="auto"/>
            </w:pPr>
            <w:r>
              <w:rPr>
                <w:rFonts w:ascii="Microsoft YaHei" w:hAnsi="Microsoft YaHei" w:eastAsia="Microsoft YaHei"/>
                <w:color w:val="1F2933"/>
                <w:sz w:val="17"/>
              </w:rPr>
              <w:t>完整功能链</w:t>
            </w:r>
          </w:p>
        </w:tc>
        <w:tc>
          <w:tcPr>
            <w:tcW w:type="dxa" w:w="1450"/>
            <w:vAlign w:val="center"/>
          </w:tcPr>
          <w:p>
            <w:pPr>
              <w:spacing w:before="20" w:after="40" w:line="252" w:lineRule="auto"/>
            </w:pPr>
            <w:r>
              <w:rPr>
                <w:rFonts w:ascii="Microsoft YaHei" w:hAnsi="Microsoft YaHei" w:eastAsia="Microsoft YaHei"/>
                <w:color w:val="1F2933"/>
                <w:sz w:val="17"/>
              </w:rPr>
              <w:t>已确认</w:t>
            </w:r>
          </w:p>
        </w:tc>
        <w:tc>
          <w:tcPr>
            <w:tcW w:type="dxa" w:w="4560"/>
            <w:vAlign w:val="center"/>
          </w:tcPr>
          <w:p>
            <w:pPr>
              <w:spacing w:before="20" w:after="40" w:line="252" w:lineRule="auto"/>
            </w:pPr>
            <w:r>
              <w:rPr>
                <w:rFonts w:ascii="Microsoft YaHei" w:hAnsi="Microsoft YaHei" w:eastAsia="Microsoft YaHei"/>
                <w:color w:val="1F2933"/>
                <w:sz w:val="17"/>
              </w:rPr>
              <w:t>必须从局外到对局、结算、仓库、出售、再开局闭环。</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S-03</w:t>
            </w:r>
          </w:p>
        </w:tc>
        <w:tc>
          <w:tcPr>
            <w:tcW w:type="dxa" w:w="2450"/>
            <w:vAlign w:val="center"/>
          </w:tcPr>
          <w:p>
            <w:pPr>
              <w:spacing w:before="20" w:after="40" w:line="252" w:lineRule="auto"/>
            </w:pPr>
            <w:r>
              <w:rPr>
                <w:rFonts w:ascii="Microsoft YaHei" w:hAnsi="Microsoft YaHei" w:eastAsia="Microsoft YaHei"/>
                <w:color w:val="1F2933"/>
                <w:sz w:val="17"/>
              </w:rPr>
              <w:t>单局时长</w:t>
            </w:r>
          </w:p>
        </w:tc>
        <w:tc>
          <w:tcPr>
            <w:tcW w:type="dxa" w:w="1450"/>
            <w:vAlign w:val="center"/>
          </w:tcPr>
          <w:p>
            <w:pPr>
              <w:spacing w:before="20" w:after="40" w:line="252" w:lineRule="auto"/>
            </w:pPr>
            <w:r>
              <w:rPr>
                <w:rFonts w:ascii="Microsoft YaHei" w:hAnsi="Microsoft YaHei" w:eastAsia="Microsoft YaHei"/>
                <w:color w:val="1F2933"/>
                <w:sz w:val="17"/>
              </w:rPr>
              <w:t>暂定</w:t>
            </w:r>
          </w:p>
        </w:tc>
        <w:tc>
          <w:tcPr>
            <w:tcW w:type="dxa" w:w="4560"/>
            <w:vAlign w:val="center"/>
          </w:tcPr>
          <w:p>
            <w:pPr>
              <w:spacing w:before="20" w:after="40" w:line="252" w:lineRule="auto"/>
            </w:pPr>
            <w:r>
              <w:rPr>
                <w:rFonts w:ascii="Microsoft YaHei" w:hAnsi="Microsoft YaHei" w:eastAsia="Microsoft YaHei"/>
                <w:color w:val="1F2933"/>
                <w:sz w:val="17"/>
              </w:rPr>
              <w:t>180 秒。</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S-04</w:t>
            </w:r>
          </w:p>
        </w:tc>
        <w:tc>
          <w:tcPr>
            <w:tcW w:type="dxa" w:w="2450"/>
            <w:vAlign w:val="center"/>
          </w:tcPr>
          <w:p>
            <w:pPr>
              <w:spacing w:before="20" w:after="40" w:line="252" w:lineRule="auto"/>
            </w:pPr>
            <w:r>
              <w:rPr>
                <w:rFonts w:ascii="Microsoft YaHei" w:hAnsi="Microsoft YaHei" w:eastAsia="Microsoft YaHei"/>
                <w:color w:val="1F2933"/>
                <w:sz w:val="17"/>
              </w:rPr>
              <w:t>撤离门槛</w:t>
            </w:r>
          </w:p>
        </w:tc>
        <w:tc>
          <w:tcPr>
            <w:tcW w:type="dxa" w:w="1450"/>
            <w:vAlign w:val="center"/>
          </w:tcPr>
          <w:p>
            <w:pPr>
              <w:spacing w:before="20" w:after="40" w:line="252" w:lineRule="auto"/>
            </w:pPr>
            <w:r>
              <w:rPr>
                <w:rFonts w:ascii="Microsoft YaHei" w:hAnsi="Microsoft YaHei" w:eastAsia="Microsoft YaHei"/>
                <w:color w:val="1F2933"/>
                <w:sz w:val="17"/>
              </w:rPr>
              <w:t>已确认</w:t>
            </w:r>
          </w:p>
        </w:tc>
        <w:tc>
          <w:tcPr>
            <w:tcW w:type="dxa" w:w="4560"/>
            <w:vAlign w:val="center"/>
          </w:tcPr>
          <w:p>
            <w:pPr>
              <w:spacing w:before="20" w:after="40" w:line="252" w:lineRule="auto"/>
            </w:pPr>
            <w:r>
              <w:rPr>
                <w:rFonts w:ascii="Microsoft YaHei" w:hAnsi="Microsoft YaHei" w:eastAsia="Microsoft YaHei"/>
                <w:color w:val="1F2933"/>
                <w:sz w:val="17"/>
              </w:rPr>
              <w:t>完成 5 个容器搜索后解锁。</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S-05</w:t>
            </w:r>
          </w:p>
        </w:tc>
        <w:tc>
          <w:tcPr>
            <w:tcW w:type="dxa" w:w="2450"/>
            <w:vAlign w:val="center"/>
          </w:tcPr>
          <w:p>
            <w:pPr>
              <w:spacing w:before="20" w:after="40" w:line="252" w:lineRule="auto"/>
            </w:pPr>
            <w:r>
              <w:rPr>
                <w:rFonts w:ascii="Microsoft YaHei" w:hAnsi="Microsoft YaHei" w:eastAsia="Microsoft YaHei"/>
                <w:color w:val="1F2933"/>
                <w:sz w:val="17"/>
              </w:rPr>
              <w:t>撤离读条</w:t>
            </w:r>
          </w:p>
        </w:tc>
        <w:tc>
          <w:tcPr>
            <w:tcW w:type="dxa" w:w="1450"/>
            <w:vAlign w:val="center"/>
          </w:tcPr>
          <w:p>
            <w:pPr>
              <w:spacing w:before="20" w:after="40" w:line="252" w:lineRule="auto"/>
            </w:pPr>
            <w:r>
              <w:rPr>
                <w:rFonts w:ascii="Microsoft YaHei" w:hAnsi="Microsoft YaHei" w:eastAsia="Microsoft YaHei"/>
                <w:color w:val="1F2933"/>
                <w:sz w:val="17"/>
              </w:rPr>
              <w:t>暂定</w:t>
            </w:r>
          </w:p>
        </w:tc>
        <w:tc>
          <w:tcPr>
            <w:tcW w:type="dxa" w:w="4560"/>
            <w:vAlign w:val="center"/>
          </w:tcPr>
          <w:p>
            <w:pPr>
              <w:spacing w:before="20" w:after="40" w:line="252" w:lineRule="auto"/>
            </w:pPr>
            <w:r>
              <w:rPr>
                <w:rFonts w:ascii="Microsoft YaHei" w:hAnsi="Microsoft YaHei" w:eastAsia="Microsoft YaHei"/>
                <w:color w:val="1F2933"/>
                <w:sz w:val="17"/>
              </w:rPr>
              <w:t>15 秒；同时继续消耗对局总时间。</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S-06</w:t>
            </w:r>
          </w:p>
        </w:tc>
        <w:tc>
          <w:tcPr>
            <w:tcW w:type="dxa" w:w="2450"/>
            <w:vAlign w:val="center"/>
          </w:tcPr>
          <w:p>
            <w:pPr>
              <w:spacing w:before="20" w:after="40" w:line="252" w:lineRule="auto"/>
            </w:pPr>
            <w:r>
              <w:rPr>
                <w:rFonts w:ascii="Microsoft YaHei" w:hAnsi="Microsoft YaHei" w:eastAsia="Microsoft YaHei"/>
                <w:color w:val="1F2933"/>
                <w:sz w:val="17"/>
              </w:rPr>
              <w:t>搜索呈现</w:t>
            </w:r>
          </w:p>
        </w:tc>
        <w:tc>
          <w:tcPr>
            <w:tcW w:type="dxa" w:w="1450"/>
            <w:vAlign w:val="center"/>
          </w:tcPr>
          <w:p>
            <w:pPr>
              <w:spacing w:before="20" w:after="40" w:line="252" w:lineRule="auto"/>
            </w:pPr>
            <w:r>
              <w:rPr>
                <w:rFonts w:ascii="Microsoft YaHei" w:hAnsi="Microsoft YaHei" w:eastAsia="Microsoft YaHei"/>
                <w:color w:val="1F2933"/>
                <w:sz w:val="17"/>
              </w:rPr>
              <w:t>已确认</w:t>
            </w:r>
          </w:p>
        </w:tc>
        <w:tc>
          <w:tcPr>
            <w:tcW w:type="dxa" w:w="4560"/>
            <w:vAlign w:val="center"/>
          </w:tcPr>
          <w:p>
            <w:pPr>
              <w:spacing w:before="20" w:after="40" w:line="252" w:lineRule="auto"/>
            </w:pPr>
            <w:r>
              <w:rPr>
                <w:rFonts w:ascii="Microsoft YaHei" w:hAnsi="Microsoft YaHei" w:eastAsia="Microsoft YaHei"/>
                <w:color w:val="1F2933"/>
                <w:sz w:val="17"/>
              </w:rPr>
              <w:t>先显示未知物品数量与格子形状，再逐件揭晓。</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S-07</w:t>
            </w:r>
          </w:p>
        </w:tc>
        <w:tc>
          <w:tcPr>
            <w:tcW w:type="dxa" w:w="2450"/>
            <w:vAlign w:val="center"/>
          </w:tcPr>
          <w:p>
            <w:pPr>
              <w:spacing w:before="20" w:after="40" w:line="252" w:lineRule="auto"/>
            </w:pPr>
            <w:r>
              <w:rPr>
                <w:rFonts w:ascii="Microsoft YaHei" w:hAnsi="Microsoft YaHei" w:eastAsia="Microsoft YaHei"/>
                <w:color w:val="1F2933"/>
                <w:sz w:val="17"/>
              </w:rPr>
              <w:t>品质与揭晓时间</w:t>
            </w:r>
          </w:p>
        </w:tc>
        <w:tc>
          <w:tcPr>
            <w:tcW w:type="dxa" w:w="1450"/>
            <w:vAlign w:val="center"/>
          </w:tcPr>
          <w:p>
            <w:pPr>
              <w:spacing w:before="20" w:after="40" w:line="252" w:lineRule="auto"/>
            </w:pPr>
            <w:r>
              <w:rPr>
                <w:rFonts w:ascii="Microsoft YaHei" w:hAnsi="Microsoft YaHei" w:eastAsia="Microsoft YaHei"/>
                <w:color w:val="1F2933"/>
                <w:sz w:val="17"/>
              </w:rPr>
              <w:t>暂定</w:t>
            </w:r>
          </w:p>
        </w:tc>
        <w:tc>
          <w:tcPr>
            <w:tcW w:type="dxa" w:w="4560"/>
            <w:vAlign w:val="center"/>
          </w:tcPr>
          <w:p>
            <w:r>
              <w:t>白/蓝/紫/金/红的搜索等待时间暂定为0.5/1/2/3/5秒；不等同于翻转动画时长。</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S-08</w:t>
            </w:r>
          </w:p>
        </w:tc>
        <w:tc>
          <w:tcPr>
            <w:tcW w:type="dxa" w:w="2450"/>
            <w:vAlign w:val="center"/>
          </w:tcPr>
          <w:p>
            <w:pPr>
              <w:spacing w:before="20" w:after="40" w:line="252" w:lineRule="auto"/>
            </w:pPr>
            <w:r>
              <w:rPr>
                <w:rFonts w:ascii="Microsoft YaHei" w:hAnsi="Microsoft YaHei" w:eastAsia="Microsoft YaHei"/>
                <w:color w:val="1F2933"/>
                <w:sz w:val="17"/>
              </w:rPr>
              <w:t>物品表现</w:t>
            </w:r>
          </w:p>
        </w:tc>
        <w:tc>
          <w:tcPr>
            <w:tcW w:type="dxa" w:w="1450"/>
            <w:vAlign w:val="center"/>
          </w:tcPr>
          <w:p>
            <w:pPr>
              <w:spacing w:before="20" w:after="40" w:line="252" w:lineRule="auto"/>
            </w:pPr>
            <w:r>
              <w:rPr>
                <w:rFonts w:ascii="Microsoft YaHei" w:hAnsi="Microsoft YaHei" w:eastAsia="Microsoft YaHei"/>
                <w:color w:val="1F2933"/>
                <w:sz w:val="17"/>
              </w:rPr>
              <w:t>已确认</w:t>
            </w:r>
          </w:p>
        </w:tc>
        <w:tc>
          <w:tcPr>
            <w:tcW w:type="dxa" w:w="4560"/>
            <w:vAlign w:val="center"/>
          </w:tcPr>
          <w:p>
            <w:r>
              <w:t>正式藏品插画不做，物品用品质纯色色块；核心搜刮 UI 与基础揭晓反馈必须图形化。</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S-09</w:t>
            </w:r>
          </w:p>
        </w:tc>
        <w:tc>
          <w:tcPr>
            <w:tcW w:type="dxa" w:w="2450"/>
            <w:vAlign w:val="center"/>
          </w:tcPr>
          <w:p>
            <w:pPr>
              <w:spacing w:before="20" w:after="40" w:line="252" w:lineRule="auto"/>
            </w:pPr>
            <w:r>
              <w:rPr>
                <w:rFonts w:ascii="Microsoft YaHei" w:hAnsi="Microsoft YaHei" w:eastAsia="Microsoft YaHei"/>
                <w:color w:val="1F2933"/>
                <w:sz w:val="17"/>
              </w:rPr>
              <w:t>格子操作</w:t>
            </w:r>
          </w:p>
        </w:tc>
        <w:tc>
          <w:tcPr>
            <w:tcW w:type="dxa" w:w="1450"/>
            <w:vAlign w:val="center"/>
          </w:tcPr>
          <w:p>
            <w:pPr>
              <w:spacing w:before="20" w:after="40" w:line="252" w:lineRule="auto"/>
            </w:pPr>
            <w:r>
              <w:rPr>
                <w:rFonts w:ascii="Microsoft YaHei" w:hAnsi="Microsoft YaHei" w:eastAsia="Microsoft YaHei"/>
                <w:color w:val="1F2933"/>
                <w:sz w:val="17"/>
              </w:rPr>
              <w:t>已确认</w:t>
            </w:r>
          </w:p>
        </w:tc>
        <w:tc>
          <w:tcPr>
            <w:tcW w:type="dxa" w:w="4560"/>
            <w:vAlign w:val="center"/>
          </w:tcPr>
          <w:p>
            <w:pPr>
              <w:spacing w:before="20" w:after="40" w:line="252" w:lineRule="auto"/>
            </w:pPr>
            <w:r>
              <w:rPr>
                <w:rFonts w:ascii="Microsoft YaHei" w:hAnsi="Microsoft YaHei" w:eastAsia="Microsoft YaHei"/>
                <w:color w:val="1F2933"/>
                <w:sz w:val="17"/>
              </w:rPr>
              <w:t>拾取、拖拽、替换、丢弃、旋转。</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S-10</w:t>
            </w:r>
          </w:p>
        </w:tc>
        <w:tc>
          <w:tcPr>
            <w:tcW w:type="dxa" w:w="2450"/>
            <w:vAlign w:val="center"/>
          </w:tcPr>
          <w:p>
            <w:pPr>
              <w:spacing w:before="20" w:after="40" w:line="252" w:lineRule="auto"/>
            </w:pPr>
            <w:r>
              <w:rPr>
                <w:rFonts w:ascii="Microsoft YaHei" w:hAnsi="Microsoft YaHei" w:eastAsia="Microsoft YaHei"/>
                <w:color w:val="1F2933"/>
                <w:sz w:val="17"/>
              </w:rPr>
              <w:t>失败保留规则</w:t>
            </w:r>
          </w:p>
        </w:tc>
        <w:tc>
          <w:tcPr>
            <w:tcW w:type="dxa" w:w="1450"/>
            <w:vAlign w:val="center"/>
          </w:tcPr>
          <w:p>
            <w:pPr>
              <w:spacing w:before="20" w:after="40" w:line="252" w:lineRule="auto"/>
            </w:pPr>
            <w:r>
              <w:rPr>
                <w:rFonts w:ascii="Microsoft YaHei" w:hAnsi="Microsoft YaHei" w:eastAsia="Microsoft YaHei"/>
                <w:color w:val="1F2933"/>
                <w:sz w:val="17"/>
              </w:rPr>
              <w:t>已确认</w:t>
            </w:r>
          </w:p>
        </w:tc>
        <w:tc>
          <w:tcPr>
            <w:tcW w:type="dxa" w:w="4560"/>
            <w:vAlign w:val="center"/>
          </w:tcPr>
          <w:p>
            <w:pPr>
              <w:spacing w:before="20" w:after="40" w:line="252" w:lineRule="auto"/>
            </w:pPr>
            <w:r>
              <w:rPr>
                <w:rFonts w:ascii="Microsoft YaHei" w:hAnsi="Microsoft YaHei" w:eastAsia="Microsoft YaHei"/>
                <w:color w:val="1F2933"/>
                <w:sz w:val="17"/>
              </w:rPr>
              <w:t>只保留安全箱物品；背包物品丢失。</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S-11</w:t>
            </w:r>
          </w:p>
        </w:tc>
        <w:tc>
          <w:tcPr>
            <w:tcW w:type="dxa" w:w="2450"/>
            <w:vAlign w:val="center"/>
          </w:tcPr>
          <w:p>
            <w:pPr>
              <w:spacing w:before="20" w:after="40" w:line="252" w:lineRule="auto"/>
            </w:pPr>
            <w:r>
              <w:rPr>
                <w:rFonts w:ascii="Microsoft YaHei" w:hAnsi="Microsoft YaHei" w:eastAsia="Microsoft YaHei"/>
                <w:color w:val="1F2933"/>
                <w:sz w:val="17"/>
              </w:rPr>
              <w:t>战斗</w:t>
            </w:r>
          </w:p>
        </w:tc>
        <w:tc>
          <w:tcPr>
            <w:tcW w:type="dxa" w:w="1450"/>
            <w:vAlign w:val="center"/>
          </w:tcPr>
          <w:p>
            <w:pPr>
              <w:spacing w:before="20" w:after="40" w:line="252" w:lineRule="auto"/>
            </w:pPr>
            <w:r>
              <w:rPr>
                <w:rFonts w:ascii="Microsoft YaHei" w:hAnsi="Microsoft YaHei" w:eastAsia="Microsoft YaHei"/>
                <w:color w:val="1F2933"/>
                <w:sz w:val="17"/>
              </w:rPr>
              <w:t>已确认排除</w:t>
            </w:r>
          </w:p>
        </w:tc>
        <w:tc>
          <w:tcPr>
            <w:tcW w:type="dxa" w:w="4560"/>
            <w:vAlign w:val="center"/>
          </w:tcPr>
          <w:p>
            <w:pPr>
              <w:spacing w:before="20" w:after="40" w:line="252" w:lineRule="auto"/>
            </w:pPr>
            <w:r>
              <w:rPr>
                <w:rFonts w:ascii="Microsoft YaHei" w:hAnsi="Microsoft YaHei" w:eastAsia="Microsoft YaHei"/>
                <w:color w:val="1F2933"/>
                <w:sz w:val="17"/>
              </w:rPr>
              <w:t>V0.1 不做。</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S-12</w:t>
            </w:r>
          </w:p>
        </w:tc>
        <w:tc>
          <w:tcPr>
            <w:tcW w:type="dxa" w:w="2450"/>
            <w:vAlign w:val="center"/>
          </w:tcPr>
          <w:p>
            <w:pPr>
              <w:spacing w:before="20" w:after="40" w:line="252" w:lineRule="auto"/>
            </w:pPr>
            <w:r>
              <w:rPr>
                <w:rFonts w:ascii="Microsoft YaHei" w:hAnsi="Microsoft YaHei" w:eastAsia="Microsoft YaHei"/>
                <w:color w:val="1F2933"/>
                <w:sz w:val="17"/>
              </w:rPr>
              <w:t>成长系统</w:t>
            </w:r>
          </w:p>
        </w:tc>
        <w:tc>
          <w:tcPr>
            <w:tcW w:type="dxa" w:w="1450"/>
            <w:vAlign w:val="center"/>
          </w:tcPr>
          <w:p>
            <w:pPr>
              <w:spacing w:before="20" w:after="40" w:line="252" w:lineRule="auto"/>
            </w:pPr>
            <w:r>
              <w:rPr>
                <w:rFonts w:ascii="Microsoft YaHei" w:hAnsi="Microsoft YaHei" w:eastAsia="Microsoft YaHei"/>
                <w:color w:val="1F2933"/>
                <w:sz w:val="17"/>
              </w:rPr>
              <w:t>已确认排除</w:t>
            </w:r>
          </w:p>
        </w:tc>
        <w:tc>
          <w:tcPr>
            <w:tcW w:type="dxa" w:w="4560"/>
            <w:vAlign w:val="center"/>
          </w:tcPr>
          <w:p>
            <w:pPr>
              <w:spacing w:before="20" w:after="40" w:line="252" w:lineRule="auto"/>
            </w:pPr>
            <w:r>
              <w:rPr>
                <w:rFonts w:ascii="Microsoft YaHei" w:hAnsi="Microsoft YaHei" w:eastAsia="Microsoft YaHei"/>
                <w:color w:val="1F2933"/>
                <w:sz w:val="17"/>
              </w:rPr>
              <w:t>V0.1 不做，只记录未来方向。</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S-13</w:t>
            </w:r>
          </w:p>
        </w:tc>
        <w:tc>
          <w:tcPr>
            <w:tcW w:type="dxa" w:w="2450"/>
            <w:vAlign w:val="center"/>
          </w:tcPr>
          <w:p>
            <w:pPr>
              <w:spacing w:before="20" w:after="40" w:line="252" w:lineRule="auto"/>
            </w:pPr>
            <w:r>
              <w:rPr>
                <w:rFonts w:ascii="Microsoft YaHei" w:hAnsi="Microsoft YaHei" w:eastAsia="Microsoft YaHei"/>
                <w:color w:val="1F2933"/>
                <w:sz w:val="17"/>
              </w:rPr>
              <w:t>地图移动形式</w:t>
            </w:r>
          </w:p>
        </w:tc>
        <w:tc>
          <w:tcPr>
            <w:tcW w:type="dxa" w:w="1450"/>
            <w:vAlign w:val="center"/>
          </w:tcPr>
          <w:p>
            <w:pPr>
              <w:spacing w:before="20" w:after="40" w:line="252" w:lineRule="auto"/>
            </w:pPr>
            <w:r>
              <w:rPr>
                <w:rFonts w:ascii="Microsoft YaHei" w:hAnsi="Microsoft YaHei" w:eastAsia="Microsoft YaHei"/>
                <w:color w:val="1F2933"/>
                <w:sz w:val="17"/>
              </w:rPr>
              <w:t>未确定</w:t>
            </w:r>
          </w:p>
        </w:tc>
        <w:tc>
          <w:tcPr>
            <w:tcW w:type="dxa" w:w="4560"/>
            <w:vAlign w:val="center"/>
          </w:tcPr>
          <w:p>
            <w:pPr>
              <w:spacing w:before="20" w:after="40" w:line="252" w:lineRule="auto"/>
            </w:pPr>
            <w:r>
              <w:rPr>
                <w:rFonts w:ascii="Microsoft YaHei" w:hAnsi="Microsoft YaHei" w:eastAsia="Microsoft YaHei"/>
                <w:color w:val="1F2933"/>
                <w:sz w:val="17"/>
              </w:rPr>
              <w:t>禁止自行决定。</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S-14</w:t>
            </w:r>
          </w:p>
        </w:tc>
        <w:tc>
          <w:tcPr>
            <w:tcW w:type="dxa" w:w="2450"/>
            <w:vAlign w:val="center"/>
          </w:tcPr>
          <w:p>
            <w:pPr>
              <w:spacing w:before="20" w:after="40" w:line="252" w:lineRule="auto"/>
            </w:pPr>
            <w:r>
              <w:rPr>
                <w:rFonts w:ascii="Microsoft YaHei" w:hAnsi="Microsoft YaHei" w:eastAsia="Microsoft YaHei"/>
                <w:color w:val="1F2933"/>
                <w:sz w:val="17"/>
              </w:rPr>
              <w:t>搜索中断/恢复</w:t>
            </w:r>
          </w:p>
        </w:tc>
        <w:tc>
          <w:tcPr>
            <w:tcW w:type="dxa" w:w="1450"/>
            <w:vAlign w:val="center"/>
          </w:tcPr>
          <w:p>
            <w:pPr>
              <w:spacing w:before="20" w:after="40" w:line="252" w:lineRule="auto"/>
            </w:pPr>
            <w:r>
              <w:rPr>
                <w:rFonts w:ascii="Microsoft YaHei" w:hAnsi="Microsoft YaHei" w:eastAsia="Microsoft YaHei"/>
                <w:color w:val="1F2933"/>
                <w:sz w:val="17"/>
              </w:rPr>
              <w:t>未确定</w:t>
            </w:r>
          </w:p>
        </w:tc>
        <w:tc>
          <w:tcPr>
            <w:tcW w:type="dxa" w:w="4560"/>
            <w:vAlign w:val="center"/>
          </w:tcPr>
          <w:p>
            <w:pPr>
              <w:spacing w:before="20" w:after="40" w:line="252" w:lineRule="auto"/>
            </w:pPr>
            <w:r>
              <w:rPr>
                <w:rFonts w:ascii="Microsoft YaHei" w:hAnsi="Microsoft YaHei" w:eastAsia="Microsoft YaHei"/>
                <w:color w:val="1F2933"/>
                <w:sz w:val="17"/>
              </w:rPr>
              <w:t>禁止自行决定。</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S-15</w:t>
            </w:r>
          </w:p>
        </w:tc>
        <w:tc>
          <w:tcPr>
            <w:tcW w:type="dxa" w:w="2450"/>
            <w:vAlign w:val="center"/>
          </w:tcPr>
          <w:p>
            <w:pPr>
              <w:spacing w:before="20" w:after="40" w:line="252" w:lineRule="auto"/>
            </w:pPr>
            <w:r>
              <w:rPr>
                <w:rFonts w:ascii="Microsoft YaHei" w:hAnsi="Microsoft YaHei" w:eastAsia="Microsoft YaHei"/>
                <w:color w:val="1F2933"/>
                <w:sz w:val="17"/>
              </w:rPr>
              <w:t>容器内搜索顺序</w:t>
            </w:r>
          </w:p>
        </w:tc>
        <w:tc>
          <w:tcPr>
            <w:tcW w:type="dxa" w:w="1450"/>
            <w:vAlign w:val="center"/>
          </w:tcPr>
          <w:p>
            <w:pPr>
              <w:spacing w:before="20" w:after="40" w:line="252" w:lineRule="auto"/>
            </w:pPr>
            <w:r>
              <w:rPr>
                <w:rFonts w:ascii="Microsoft YaHei" w:hAnsi="Microsoft YaHei" w:eastAsia="Microsoft YaHei"/>
                <w:color w:val="1F2933"/>
                <w:sz w:val="17"/>
              </w:rPr>
              <w:t>未确定</w:t>
            </w:r>
          </w:p>
        </w:tc>
        <w:tc>
          <w:tcPr>
            <w:tcW w:type="dxa" w:w="4560"/>
            <w:vAlign w:val="center"/>
          </w:tcPr>
          <w:p>
            <w:pPr>
              <w:spacing w:before="20" w:after="40" w:line="252" w:lineRule="auto"/>
            </w:pPr>
            <w:r>
              <w:rPr>
                <w:rFonts w:ascii="Microsoft YaHei" w:hAnsi="Microsoft YaHei" w:eastAsia="Microsoft YaHei"/>
                <w:color w:val="1F2933"/>
                <w:sz w:val="17"/>
              </w:rPr>
              <w:t>禁止自行决定。</w:t>
            </w:r>
          </w:p>
        </w:tc>
      </w:tr>
      <w:tr>
        <w:trPr>
          <w:cantSplit/>
        </w:trPr>
        <w:tc>
          <w:tcPr>
            <w:tcW w:type="dxa" w:w="900"/>
            <w:vAlign w:val="center"/>
          </w:tcPr>
          <w:p>
            <w:pPr>
              <w:spacing w:before="20" w:after="40" w:line="252" w:lineRule="auto"/>
            </w:pPr>
            <w:r>
              <w:rPr>
                <w:rFonts w:ascii="Microsoft YaHei" w:hAnsi="Microsoft YaHei" w:eastAsia="Microsoft YaHei"/>
                <w:color w:val="1F2933"/>
                <w:sz w:val="17"/>
              </w:rPr>
              <w:t>S-16</w:t>
            </w:r>
          </w:p>
        </w:tc>
        <w:tc>
          <w:tcPr>
            <w:tcW w:type="dxa" w:w="2450"/>
            <w:vAlign w:val="center"/>
          </w:tcPr>
          <w:p>
            <w:pPr>
              <w:spacing w:before="20" w:after="40" w:line="252" w:lineRule="auto"/>
            </w:pPr>
            <w:r>
              <w:rPr>
                <w:rFonts w:ascii="Microsoft YaHei" w:hAnsi="Microsoft YaHei" w:eastAsia="Microsoft YaHei"/>
                <w:color w:val="1F2933"/>
                <w:sz w:val="17"/>
              </w:rPr>
              <w:t>具体平台与技术栈</w:t>
            </w:r>
          </w:p>
        </w:tc>
        <w:tc>
          <w:tcPr>
            <w:tcW w:type="dxa" w:w="1450"/>
            <w:vAlign w:val="center"/>
          </w:tcPr>
          <w:p>
            <w:pPr>
              <w:spacing w:before="20" w:after="40" w:line="252" w:lineRule="auto"/>
            </w:pPr>
            <w:r>
              <w:rPr>
                <w:rFonts w:ascii="Microsoft YaHei" w:hAnsi="Microsoft YaHei" w:eastAsia="Microsoft YaHei"/>
                <w:color w:val="1F2933"/>
                <w:sz w:val="17"/>
              </w:rPr>
              <w:t>未确定</w:t>
            </w:r>
          </w:p>
        </w:tc>
        <w:tc>
          <w:tcPr>
            <w:tcW w:type="dxa" w:w="4560"/>
            <w:vAlign w:val="center"/>
          </w:tcPr>
          <w:p>
            <w:pPr>
              <w:spacing w:before="20" w:after="40" w:line="252" w:lineRule="auto"/>
            </w:pPr>
            <w:r>
              <w:rPr>
                <w:rFonts w:ascii="Microsoft YaHei" w:hAnsi="Microsoft YaHei" w:eastAsia="Microsoft YaHei"/>
                <w:color w:val="1F2933"/>
                <w:sz w:val="17"/>
              </w:rPr>
              <w:t>仅有微信小游戏/PC轻量小游戏倾向。</w:t>
            </w:r>
          </w:p>
        </w:tc>
      </w:tr>
      <w:tr>
        <w:tc>
          <w:tcPr>
            <w:tcW w:type="dxa" w:w="900"/>
            <w:vAlign w:val="center"/>
          </w:tcPr>
          <w:p>
            <w:r>
              <w:t>S-17</w:t>
            </w:r>
          </w:p>
        </w:tc>
        <w:tc>
          <w:tcPr>
            <w:tcW w:type="dxa" w:w="2450"/>
            <w:vAlign w:val="center"/>
          </w:tcPr>
          <w:p>
            <w:r>
              <w:t>核心搜刮图形化</w:t>
            </w:r>
          </w:p>
        </w:tc>
        <w:tc>
          <w:tcPr>
            <w:tcW w:type="dxa" w:w="1450"/>
            <w:vAlign w:val="center"/>
          </w:tcPr>
          <w:p>
            <w:r>
              <w:t>已确认</w:t>
            </w:r>
          </w:p>
        </w:tc>
        <w:tc>
          <w:tcPr>
            <w:tcW w:type="dxa" w:w="4560"/>
            <w:vAlign w:val="center"/>
          </w:tcPr>
          <w:p>
            <w:r>
              <w:t>容器搜索、二维格子、背包、安全箱、未知遮罩、品质和价值反馈均须图形化。</w:t>
            </w:r>
          </w:p>
        </w:tc>
      </w:tr>
      <w:tr>
        <w:tc>
          <w:tcPr>
            <w:tcW w:type="dxa" w:w="900"/>
            <w:vAlign w:val="center"/>
          </w:tcPr>
          <w:p>
            <w:r>
              <w:t>S-18</w:t>
            </w:r>
          </w:p>
        </w:tc>
        <w:tc>
          <w:tcPr>
            <w:tcW w:type="dxa" w:w="2450"/>
            <w:vAlign w:val="center"/>
          </w:tcPr>
          <w:p>
            <w:r>
              <w:t>视觉风格与1080P基线</w:t>
            </w:r>
          </w:p>
        </w:tc>
        <w:tc>
          <w:tcPr>
            <w:tcW w:type="dxa" w:w="1450"/>
            <w:vAlign w:val="center"/>
          </w:tcPr>
          <w:p>
            <w:r>
              <w:t>暂定</w:t>
            </w:r>
          </w:p>
        </w:tc>
        <w:tc>
          <w:tcPr>
            <w:tcW w:type="dxa" w:w="4560"/>
            <w:vAlign w:val="center"/>
          </w:tcPr>
          <w:p>
            <w:r>
              <w:t>1920×1080、16:9；轻松干净的2D扁平卡通UI+轻微工业感；布局不得绝对像素写死。</w:t>
            </w:r>
          </w:p>
        </w:tc>
      </w:tr>
      <w:tr>
        <w:tc>
          <w:tcPr>
            <w:tcW w:type="dxa" w:w="900"/>
            <w:vAlign w:val="center"/>
          </w:tcPr>
          <w:p>
            <w:r>
              <w:t>S-19</w:t>
            </w:r>
          </w:p>
        </w:tc>
        <w:tc>
          <w:tcPr>
            <w:tcW w:type="dxa" w:w="2450"/>
            <w:vAlign w:val="center"/>
          </w:tcPr>
          <w:p>
            <w:r>
              <w:t>C1-C5容器体系与概率</w:t>
            </w:r>
          </w:p>
        </w:tc>
        <w:tc>
          <w:tcPr>
            <w:tcW w:type="dxa" w:w="1450"/>
            <w:vAlign w:val="center"/>
          </w:tcPr>
          <w:p>
            <w:r>
              <w:t>暂定</w:t>
            </w:r>
          </w:p>
        </w:tc>
        <w:tc>
          <w:tcPr>
            <w:tcW w:type="dxa" w:w="4560"/>
            <w:vAlign w:val="center"/>
          </w:tcPr>
          <w:p>
            <w:r>
              <w:t>五级体系；每件物品独立抽品质；C5当前为保险箱体系；概率见5.6。</w:t>
            </w:r>
          </w:p>
        </w:tc>
      </w:tr>
      <w:tr>
        <w:tc>
          <w:tcPr>
            <w:tcW w:type="dxa" w:w="900"/>
            <w:vAlign w:val="center"/>
          </w:tcPr>
          <w:p>
            <w:r>
              <w:t>S-20</w:t>
            </w:r>
          </w:p>
        </w:tc>
        <w:tc>
          <w:tcPr>
            <w:tcW w:type="dxa" w:w="2450"/>
            <w:vAlign w:val="center"/>
          </w:tcPr>
          <w:p>
            <w:r>
              <w:t>V0.1容器物品数</w:t>
            </w:r>
          </w:p>
        </w:tc>
        <w:tc>
          <w:tcPr>
            <w:tcW w:type="dxa" w:w="1450"/>
            <w:vAlign w:val="center"/>
          </w:tcPr>
          <w:p>
            <w:r>
              <w:t>暂定</w:t>
            </w:r>
          </w:p>
        </w:tc>
        <w:tc>
          <w:tcPr>
            <w:tcW w:type="dxa" w:w="4560"/>
            <w:vAlign w:val="center"/>
          </w:tcPr>
          <w:p>
            <w:r>
              <w:t>所有容器1～3件；V0.1不实现地图等级系统。</w:t>
            </w:r>
          </w:p>
        </w:tc>
      </w:tr>
      <w:tr>
        <w:tc>
          <w:tcPr>
            <w:tcW w:type="dxa" w:w="900"/>
            <w:vAlign w:val="center"/>
          </w:tcPr>
          <w:p>
            <w:r>
              <w:t>S-21</w:t>
            </w:r>
          </w:p>
        </w:tc>
        <w:tc>
          <w:tcPr>
            <w:tcW w:type="dxa" w:w="2450"/>
            <w:vAlign w:val="center"/>
          </w:tcPr>
          <w:p>
            <w:r>
              <w:t>V0.1测试经济</w:t>
            </w:r>
          </w:p>
        </w:tc>
        <w:tc>
          <w:tcPr>
            <w:tcW w:type="dxa" w:w="1450"/>
            <w:vAlign w:val="center"/>
          </w:tcPr>
          <w:p>
            <w:r>
              <w:t>暂定</w:t>
            </w:r>
          </w:p>
        </w:tc>
        <w:tc>
          <w:tcPr>
            <w:tcW w:type="dxa" w:w="4560"/>
            <w:vAlign w:val="center"/>
          </w:tcPr>
          <w:p>
            <w:r>
              <w:t>初始货币100000；背包4×4/5×5/6×6价格1000/2500/5000；安全箱默认2×2且免费。</w:t>
            </w:r>
          </w:p>
        </w:tc>
      </w:tr>
      <w:tr>
        <w:tc>
          <w:tcPr>
            <w:tcW w:type="dxa" w:w="900"/>
            <w:vAlign w:val="center"/>
          </w:tcPr>
          <w:p>
            <w:r>
              <w:t>S-22</w:t>
            </w:r>
          </w:p>
        </w:tc>
        <w:tc>
          <w:tcPr>
            <w:tcW w:type="dxa" w:w="2450"/>
            <w:vAlign w:val="center"/>
          </w:tcPr>
          <w:p>
            <w:r>
              <w:t>集中配置与单一来源</w:t>
            </w:r>
          </w:p>
        </w:tc>
        <w:tc>
          <w:tcPr>
            <w:tcW w:type="dxa" w:w="1450"/>
            <w:vAlign w:val="center"/>
          </w:tcPr>
          <w:p>
            <w:r>
              <w:t>已确认</w:t>
            </w:r>
          </w:p>
        </w:tc>
        <w:tc>
          <w:tcPr>
            <w:tcW w:type="dxa" w:w="4560"/>
            <w:vAlign w:val="center"/>
          </w:tcPr>
          <w:p>
            <w:r>
              <w:t>所有平衡、内容和测试参数集中配置；改暂定值不得要求改核心算法/UI。</w:t>
            </w:r>
          </w:p>
        </w:tc>
      </w:tr>
      <w:tr>
        <w:tc>
          <w:tcPr>
            <w:tcW w:type="dxa" w:w="900"/>
            <w:vAlign w:val="center"/>
          </w:tcPr>
          <w:p>
            <w:r>
              <w:t>S-23</w:t>
            </w:r>
          </w:p>
        </w:tc>
        <w:tc>
          <w:tcPr>
            <w:tcW w:type="dxa" w:w="2450"/>
            <w:vAlign w:val="center"/>
          </w:tcPr>
          <w:p>
            <w:r>
              <w:t>Git开发基线</w:t>
            </w:r>
          </w:p>
        </w:tc>
        <w:tc>
          <w:tcPr>
            <w:tcW w:type="dxa" w:w="1450"/>
            <w:vAlign w:val="center"/>
          </w:tcPr>
          <w:p>
            <w:r>
              <w:t>已确认</w:t>
            </w:r>
          </w:p>
        </w:tc>
        <w:tc>
          <w:tcPr>
            <w:tcW w:type="dxa" w:w="4560"/>
            <w:vAlign w:val="center"/>
          </w:tcPr>
          <w:p>
            <w:r>
              <w:t>开发前确认仓库；工作包前检查状态；小提交可回退；不得覆盖无关改动。</w:t>
            </w:r>
          </w:p>
        </w:tc>
      </w:tr>
      <w:tr>
        <w:tc>
          <w:tcPr>
            <w:tcW w:type="dxa" w:w="900"/>
            <w:vAlign w:val="center"/>
          </w:tcPr>
          <w:p>
            <w:r>
              <w:t>S-24</w:t>
            </w:r>
          </w:p>
        </w:tc>
        <w:tc>
          <w:tcPr>
            <w:tcW w:type="dxa" w:w="2450"/>
            <w:vAlign w:val="center"/>
          </w:tcPr>
          <w:p>
            <w:r>
              <w:t>项目经理/执行层分工</w:t>
            </w:r>
          </w:p>
        </w:tc>
        <w:tc>
          <w:tcPr>
            <w:tcW w:type="dxa" w:w="1450"/>
            <w:vAlign w:val="center"/>
          </w:tcPr>
          <w:p>
            <w:r>
              <w:t>已确认</w:t>
            </w:r>
          </w:p>
        </w:tc>
        <w:tc>
          <w:tcPr>
            <w:tcW w:type="dxa" w:w="4560"/>
            <w:vAlign w:val="center"/>
          </w:tcPr>
          <w:p>
            <w:r>
              <w:t>产品负责人决策；项目经理质疑、维护规范、拆包与验收；执行层只实施批准工作包。</w:t>
            </w:r>
          </w:p>
        </w:tc>
      </w:tr>
    </w:tbl>
    <w:p>
      <w:pPr>
        <w:spacing w:after="0"/>
      </w:pPr>
    </w:p>
    <w:p>
      <w:pPr>
        <w:pStyle w:val="Heading1"/>
        <w:keepNext/>
      </w:pPr>
      <w:r>
        <w:t>3. V0.1 范围</w:t>
      </w:r>
    </w:p>
    <w:p>
      <w:pPr>
        <w:pStyle w:val="Heading2"/>
        <w:keepNext/>
      </w:pPr>
      <w:r>
        <w:t>3.1 范围内（MUST）</w:t>
      </w:r>
    </w:p>
    <w:p>
      <w:pPr>
        <w:pStyle w:val="ListBullet"/>
      </w:pPr>
      <w:r>
        <w:rPr>
          <w:rFonts w:ascii="Microsoft YaHei" w:hAnsi="Microsoft YaHei" w:eastAsia="Microsoft YaHei"/>
          <w:color w:val="1F2933"/>
        </w:rPr>
        <w:t>可启动的局外入口与开始对局流程。</w:t>
      </w:r>
    </w:p>
    <w:p>
      <w:pPr>
        <w:pStyle w:val="ListBullet"/>
      </w:pPr>
      <w:r>
        <w:rPr>
          <w:rFonts w:ascii="Microsoft YaHei" w:hAnsi="Microsoft YaHei" w:eastAsia="Microsoft YaHei"/>
          <w:color w:val="1F2933"/>
        </w:rPr>
        <w:t>进入对局前的背包购买/选择流程，且购买行为必须正确扣除货币。</w:t>
      </w:r>
    </w:p>
    <w:p>
      <w:pPr>
        <w:pStyle w:val="ListBullet"/>
      </w:pPr>
      <w:r>
        <w:rPr>
          <w:rFonts w:ascii="Microsoft YaHei" w:hAnsi="Microsoft YaHei" w:eastAsia="Microsoft YaHei"/>
          <w:color w:val="1F2933"/>
        </w:rPr>
        <w:t>局内 180 秒总倒计时。</w:t>
      </w:r>
    </w:p>
    <w:p>
      <w:pPr>
        <w:pStyle w:val="ListBullet"/>
      </w:pPr>
      <w:r>
        <w:rPr>
          <w:rFonts w:ascii="Microsoft YaHei" w:hAnsi="Microsoft YaHei" w:eastAsia="Microsoft YaHei"/>
          <w:color w:val="1F2933"/>
        </w:rPr>
        <w:t>可交互容器、遮罩物品、逐件揭晓与容器完成计数。</w:t>
      </w:r>
    </w:p>
    <w:p>
      <w:pPr>
        <w:pStyle w:val="ListBullet"/>
      </w:pPr>
      <w:r>
        <w:rPr>
          <w:rFonts w:ascii="Microsoft YaHei" w:hAnsi="Microsoft YaHei" w:eastAsia="Microsoft YaHei"/>
          <w:color w:val="1F2933"/>
        </w:rPr>
        <w:t>背包和安全箱两个独立格子空间。</w:t>
      </w:r>
    </w:p>
    <w:p>
      <w:pPr>
        <w:pStyle w:val="ListBullet"/>
      </w:pPr>
      <w:r>
        <w:rPr>
          <w:rFonts w:ascii="Microsoft YaHei" w:hAnsi="Microsoft YaHei" w:eastAsia="Microsoft YaHei"/>
          <w:color w:val="1F2933"/>
        </w:rPr>
        <w:t>物品在容器、背包、安全箱之间的合法移动与整理。</w:t>
      </w:r>
    </w:p>
    <w:p>
      <w:pPr>
        <w:pStyle w:val="ListBullet"/>
      </w:pPr>
      <w:r>
        <w:rPr>
          <w:rFonts w:ascii="Microsoft YaHei" w:hAnsi="Microsoft YaHei" w:eastAsia="Microsoft YaHei"/>
          <w:color w:val="1F2933"/>
        </w:rPr>
        <w:t>完成 5 个容器搜索后解锁撤离，15 秒撤离倒计时与成功/失败判定。</w:t>
      </w:r>
    </w:p>
    <w:p>
      <w:pPr>
        <w:pStyle w:val="ListBullet"/>
      </w:pPr>
      <w:r>
        <w:rPr>
          <w:rFonts w:ascii="Microsoft YaHei" w:hAnsi="Microsoft YaHei" w:eastAsia="Microsoft YaHei"/>
          <w:color w:val="1F2933"/>
        </w:rPr>
        <w:t>成功/失败结算、仓库入库、出售、货币更新。</w:t>
      </w:r>
    </w:p>
    <w:p>
      <w:pPr>
        <w:pStyle w:val="ListBullet"/>
      </w:pPr>
      <w:r>
        <w:rPr>
          <w:rFonts w:ascii="Microsoft YaHei" w:hAnsi="Microsoft YaHei" w:eastAsia="Microsoft YaHei"/>
          <w:color w:val="1F2933"/>
        </w:rPr>
        <w:t>同一运行周期内连续多局，上一局局外结果对下一局可见且正确。</w:t>
      </w:r>
    </w:p>
    <w:p>
      <w:pPr>
        <w:pStyle w:val="ListBullet"/>
      </w:pPr>
      <w:r>
        <w:rPr>
          <w:rFonts w:ascii="Microsoft YaHei" w:hAnsi="Microsoft YaHei" w:eastAsia="Microsoft YaHei"/>
          <w:color w:val="1F2933"/>
        </w:rPr>
        <w:t>必要的测试入口、日志或调试信息；不得改变正式产品行为。</w:t>
      </w:r>
    </w:p>
    <w:p>
      <w:pPr>
        <w:pStyle w:val="Heading2"/>
        <w:keepNext/>
      </w:pPr>
      <w:r>
        <w:t>3.2 范围外（MUST NOT）</w:t>
      </w:r>
    </w:p>
    <w:p>
      <w:pPr>
        <w:keepLines w:val="0"/>
      </w:pPr>
      <w:r>
        <w:t>除第 1.3 节列明内容外，以下事项也不属于 V0.1：正式数值平衡、正式经济、正式内容量、正式藏品插画、最终品质音效、正式角色表现、危险事件、成长解锁、商业化、联网和跨设备同步。第 3.4 节列明的功能性视觉基线与暂定图片资产属于范围内。任何其他扩展均需要独立产品决策与范围变更。</w:t>
      </w:r>
    </w:p>
    <w:p>
      <w:pPr>
        <w:pStyle w:val="Heading2"/>
        <w:keepNext/>
      </w:pPr>
      <w:r>
        <w:t>3.3 未来方向（仅记录，V0.1 禁止实现）</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5050"/>
        <w:gridCol w:w="2810"/>
      </w:tblGrid>
      <w:tr>
        <w:trPr>
          <w:tblHeader w:val="true"/>
          <w:cantSplit/>
        </w:trPr>
        <w:tc>
          <w:tcPr>
            <w:tcW w:type="dxa" w:w="15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方向</w:t>
            </w:r>
          </w:p>
        </w:tc>
        <w:tc>
          <w:tcPr>
            <w:tcW w:type="dxa" w:w="505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已确认的长期原则</w:t>
            </w:r>
          </w:p>
        </w:tc>
        <w:tc>
          <w:tcPr>
            <w:tcW w:type="dxa" w:w="281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V0.1 要求</w:t>
            </w:r>
          </w:p>
        </w:tc>
      </w:tr>
      <w:tr>
        <w:trPr>
          <w:cantSplit/>
        </w:trPr>
        <w:tc>
          <w:tcPr>
            <w:tcW w:type="dxa" w:w="1500"/>
            <w:vAlign w:val="center"/>
          </w:tcPr>
          <w:p>
            <w:pPr>
              <w:spacing w:before="20" w:after="40" w:line="252" w:lineRule="auto"/>
            </w:pPr>
            <w:r>
              <w:rPr>
                <w:rFonts w:ascii="Microsoft YaHei" w:hAnsi="Microsoft YaHei" w:eastAsia="Microsoft YaHei"/>
                <w:color w:val="1F2933"/>
                <w:sz w:val="18"/>
              </w:rPr>
              <w:t>背包</w:t>
            </w:r>
          </w:p>
        </w:tc>
        <w:tc>
          <w:tcPr>
            <w:tcW w:type="dxa" w:w="5050"/>
            <w:vAlign w:val="center"/>
          </w:tcPr>
          <w:p>
            <w:pPr>
              <w:spacing w:before="20" w:after="40" w:line="252" w:lineRule="auto"/>
            </w:pPr>
            <w:r>
              <w:rPr>
                <w:rFonts w:ascii="Microsoft YaHei" w:hAnsi="Microsoft YaHei" w:eastAsia="Microsoft YaHei"/>
                <w:color w:val="1F2933"/>
                <w:sz w:val="18"/>
              </w:rPr>
              <w:t>容量不靠物资升级；由账号等级/累计带出价值解锁更高级背包的购买权限。玩家进入对局前购买背包，以货币换取更高容错。</w:t>
            </w:r>
          </w:p>
        </w:tc>
        <w:tc>
          <w:tcPr>
            <w:tcW w:type="dxa" w:w="2810"/>
            <w:vAlign w:val="center"/>
          </w:tcPr>
          <w:p>
            <w:pPr>
              <w:spacing w:before="20" w:after="40" w:line="252" w:lineRule="auto"/>
            </w:pPr>
            <w:r>
              <w:rPr>
                <w:rFonts w:ascii="Microsoft YaHei" w:hAnsi="Microsoft YaHei" w:eastAsia="Microsoft YaHei"/>
                <w:color w:val="1F2933"/>
                <w:sz w:val="18"/>
              </w:rPr>
              <w:t>禁止实现等级与解锁；仅完成购买/选择/扣款链。</w:t>
            </w:r>
          </w:p>
        </w:tc>
      </w:tr>
      <w:tr>
        <w:trPr>
          <w:cantSplit/>
        </w:trPr>
        <w:tc>
          <w:tcPr>
            <w:tcW w:type="dxa" w:w="1500"/>
            <w:vAlign w:val="center"/>
          </w:tcPr>
          <w:p>
            <w:pPr>
              <w:spacing w:before="20" w:after="40" w:line="252" w:lineRule="auto"/>
            </w:pPr>
            <w:r>
              <w:rPr>
                <w:rFonts w:ascii="Microsoft YaHei" w:hAnsi="Microsoft YaHei" w:eastAsia="Microsoft YaHei"/>
                <w:color w:val="1F2933"/>
                <w:sz w:val="18"/>
              </w:rPr>
              <w:t>安全箱</w:t>
            </w:r>
          </w:p>
        </w:tc>
        <w:tc>
          <w:tcPr>
            <w:tcW w:type="dxa" w:w="5050"/>
            <w:vAlign w:val="center"/>
          </w:tcPr>
          <w:p>
            <w:pPr>
              <w:spacing w:before="20" w:after="40" w:line="252" w:lineRule="auto"/>
            </w:pPr>
            <w:r>
              <w:rPr>
                <w:rFonts w:ascii="Microsoft YaHei" w:hAnsi="Microsoft YaHei" w:eastAsia="Microsoft YaHei"/>
                <w:color w:val="1F2933"/>
                <w:sz w:val="18"/>
              </w:rPr>
              <w:t>未来四档：1×2、2×2、2×3、3×3；同样由账号等级/累计带出价值解锁购买权限；安全箱整体定价应高于背包体系，且档位越高价格越高。</w:t>
            </w:r>
          </w:p>
        </w:tc>
        <w:tc>
          <w:tcPr>
            <w:tcW w:type="dxa" w:w="2810"/>
            <w:vAlign w:val="center"/>
          </w:tcPr>
          <w:p>
            <w:pPr>
              <w:spacing w:before="20" w:after="40" w:line="252" w:lineRule="auto"/>
            </w:pPr>
            <w:r>
              <w:rPr>
                <w:rFonts w:ascii="Microsoft YaHei" w:hAnsi="Microsoft YaHei" w:eastAsia="Microsoft YaHei"/>
                <w:color w:val="1F2933"/>
                <w:sz w:val="18"/>
              </w:rPr>
              <w:t>禁止实现完整档位成长；V0.1 只需有可工作的安全箱空间，具体测试尺寸仍需产品确认。</w:t>
            </w:r>
          </w:p>
        </w:tc>
      </w:tr>
      <w:tr>
        <w:trPr>
          <w:cantSplit/>
        </w:trPr>
        <w:tc>
          <w:tcPr>
            <w:tcW w:type="dxa" w:w="1500"/>
            <w:vAlign w:val="center"/>
          </w:tcPr>
          <w:p>
            <w:pPr>
              <w:spacing w:before="20" w:after="40" w:line="252" w:lineRule="auto"/>
            </w:pPr>
            <w:r>
              <w:rPr>
                <w:rFonts w:ascii="Microsoft YaHei" w:hAnsi="Microsoft YaHei" w:eastAsia="Microsoft YaHei"/>
                <w:color w:val="1F2933"/>
                <w:sz w:val="18"/>
              </w:rPr>
              <w:t>成长属性</w:t>
            </w:r>
          </w:p>
        </w:tc>
        <w:tc>
          <w:tcPr>
            <w:tcW w:type="dxa" w:w="5050"/>
            <w:vAlign w:val="center"/>
          </w:tcPr>
          <w:p>
            <w:pPr>
              <w:spacing w:before="20" w:after="40" w:line="252" w:lineRule="auto"/>
            </w:pPr>
            <w:r>
              <w:rPr>
                <w:rFonts w:ascii="Microsoft YaHei" w:hAnsi="Microsoft YaHei" w:eastAsia="Microsoft YaHei"/>
                <w:color w:val="1F2933"/>
                <w:sz w:val="18"/>
              </w:rPr>
              <w:t>未来可成长方向：搜索速度、移动效率、危险判定、场外出售费率。</w:t>
            </w:r>
          </w:p>
        </w:tc>
        <w:tc>
          <w:tcPr>
            <w:tcW w:type="dxa" w:w="2810"/>
            <w:vAlign w:val="center"/>
          </w:tcPr>
          <w:p>
            <w:pPr>
              <w:spacing w:before="20" w:after="40" w:line="252" w:lineRule="auto"/>
            </w:pPr>
            <w:r>
              <w:rPr>
                <w:rFonts w:ascii="Microsoft YaHei" w:hAnsi="Microsoft YaHei" w:eastAsia="Microsoft YaHei"/>
                <w:color w:val="1F2933"/>
                <w:sz w:val="18"/>
              </w:rPr>
              <w:t>禁止实现升级、等级、资源消耗或效果曲线。</w:t>
            </w:r>
          </w:p>
        </w:tc>
      </w:tr>
      <w:tr>
        <w:trPr>
          <w:cantSplit/>
        </w:trPr>
        <w:tc>
          <w:tcPr>
            <w:tcW w:type="dxa" w:w="1500"/>
            <w:vAlign w:val="center"/>
          </w:tcPr>
          <w:p>
            <w:pPr>
              <w:spacing w:before="20" w:after="40" w:line="252" w:lineRule="auto"/>
            </w:pPr>
            <w:r>
              <w:rPr>
                <w:rFonts w:ascii="Microsoft YaHei" w:hAnsi="Microsoft YaHei" w:eastAsia="Microsoft YaHei"/>
                <w:color w:val="1F2933"/>
                <w:sz w:val="18"/>
              </w:rPr>
              <w:t>危险</w:t>
            </w:r>
          </w:p>
        </w:tc>
        <w:tc>
          <w:tcPr>
            <w:tcW w:type="dxa" w:w="5050"/>
            <w:vAlign w:val="center"/>
          </w:tcPr>
          <w:p>
            <w:pPr>
              <w:spacing w:before="20" w:after="40" w:line="252" w:lineRule="auto"/>
            </w:pPr>
            <w:r>
              <w:rPr>
                <w:rFonts w:ascii="Microsoft YaHei" w:hAnsi="Microsoft YaHei" w:eastAsia="Microsoft YaHei"/>
                <w:color w:val="1F2933"/>
                <w:sz w:val="18"/>
              </w:rPr>
              <w:t>未来通过事件与选项加入危险。</w:t>
            </w:r>
          </w:p>
        </w:tc>
        <w:tc>
          <w:tcPr>
            <w:tcW w:type="dxa" w:w="2810"/>
            <w:vAlign w:val="center"/>
          </w:tcPr>
          <w:p>
            <w:pPr>
              <w:spacing w:before="20" w:after="40" w:line="252" w:lineRule="auto"/>
            </w:pPr>
            <w:r>
              <w:rPr>
                <w:rFonts w:ascii="Microsoft YaHei" w:hAnsi="Microsoft YaHei" w:eastAsia="Microsoft YaHei"/>
                <w:color w:val="1F2933"/>
                <w:sz w:val="18"/>
              </w:rPr>
              <w:t>禁止实现战斗或危险事件。</w:t>
            </w:r>
          </w:p>
        </w:tc>
      </w:tr>
    </w:tbl>
    <w:p>
      <w:pPr>
        <w:spacing w:after="0"/>
      </w:pPr>
    </w:p>
    <w:p>
      <w:r>
        <w:br w:type="page"/>
      </w:r>
    </w:p>
    <w:p>
      <w:pPr>
        <w:pStyle w:val="Heading2"/>
        <w:keepNext/>
      </w:pPr>
      <w:r>
        <w:t>3.4 V0.1 图形化核心与视觉/美术基线</w:t>
      </w:r>
    </w:p>
    <w:p>
      <w:pPr>
        <w:pStyle w:val="ListBullet"/>
      </w:pPr>
      <w:r>
        <w:t>“文字摸金”仅表示地图移动、环境叙述、事件等部分非核心过程 MAY 以文字和按钮表达；不得据此把核心搜刮流程降级为文字列表。</w:t>
      </w:r>
    </w:p>
    <w:p>
      <w:pPr>
        <w:pStyle w:val="ListBullet"/>
      </w:pPr>
      <w:r>
        <w:t>容器搜索、二维格子、背包、安全箱、未知遮罩、物品揭晓、品质与价值冲击 MUST 图形化，属于 V0.1 核心功能表现，不属于“正式美术范围外”。</w:t>
      </w:r>
    </w:p>
    <w:p>
      <w:pPr>
        <w:pStyle w:val="ListBullet"/>
      </w:pPr>
      <w:r>
        <w:t>未知遮罩 MUST 覆盖 ItemInstance 当前方向实际占用的完整格子区域，并具有清晰外轮廓描边；同尺寸未知物品视觉 MUST 完全一致。</w:t>
      </w:r>
    </w:p>
    <w:p>
      <w:pPr>
        <w:pStyle w:val="ListBullet"/>
      </w:pPr>
      <w:r>
        <w:t>未知遮罩 MUST NOT 使用物品剪影、物体造型蒙版或可识别轮廓；MUST NOT 泄露品质、价值、类别、名称或身份。</w:t>
      </w:r>
    </w:p>
    <w:p>
      <w:pPr>
        <w:pStyle w:val="ListBullet"/>
      </w:pPr>
      <w:r>
        <w:t>PC 设计基准暂定为 1920×1080、16:9；布局 MUST 使用锚点、比例、容器或响应式规则，不得把界面位置和尺寸作为不可调整的绝对像素写死。</w:t>
      </w:r>
    </w:p>
    <w:p>
      <w:pPr>
        <w:pStyle w:val="ListBullet"/>
      </w:pPr>
      <w:r>
        <w:t>视觉风格暂定为“轻松、干净的 2D 扁平化卡通 UI + 轻微工业感”。关键词：Flat 2D / Casual / Clean / Soft Industrial / Low Detail / High Readability。</w:t>
      </w:r>
    </w:p>
    <w:p>
      <w:pPr>
        <w:pStyle w:val="ListBullet"/>
      </w:pPr>
      <w:r>
        <w:t>视觉分工原则：场景负责氛围，UI 负责信息，品质颜色负责刺激。整体低饱和、清楚克制；蓝/紫/金/红品质、成功和警告反馈可承担高饱和视觉焦点。</w:t>
      </w:r>
    </w:p>
    <w:p>
      <w:pPr>
        <w:pStyle w:val="ListBullet"/>
      </w:pPr>
      <w:r>
        <w:t>正式藏品插画仍不制作；物品正面以品质纯色色块承载，显示名称、价值、尺寸等功能信息。核心搜刮 UI、格子视觉、品质视觉和基础揭晓/翻转反馈 MUST 实现。</w:t>
      </w:r>
    </w:p>
    <w:p>
      <w:pPr>
        <w:pStyle w:val="ListBullet"/>
      </w:pPr>
      <w:r>
        <w:t>单格基准尺寸暂定 baseGridCellSize=64px，MUST 配置化。由此推导的 4×4、5×5、6×6 等显示尺寸只是 1080P 设计参考，不得成为业务规则。</w:t>
      </w:r>
    </w:p>
    <w:p>
      <w:pPr>
        <w:pStyle w:val="ListBullet"/>
      </w:pPr>
      <w:r>
        <w:t>基础揭晓动画暂定为卡片 Y 轴翻转，约 250～400ms。0.5/1/2/3/5 秒为品质对应的搜索等待时间，不是翻转动画持续时间。</w:t>
      </w:r>
    </w:p>
    <w:p>
      <w:pPr>
        <w:pStyle w:val="Heading3"/>
        <w:keepNext/>
      </w:pPr>
      <w:r>
        <w:t>V0.1 暂定图片资产清单</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44"/>
            <w:vAlign w:val="center"/>
            <w:shd w:fill="D9E7F3"/>
          </w:tcPr>
          <w:p>
            <w:pPr>
              <w:spacing w:after="0"/>
            </w:pPr>
            <w:r>
              <w:rPr>
                <w:b/>
                <w:sz w:val="16"/>
              </w:rPr>
              <w:t>资产</w:t>
            </w:r>
          </w:p>
        </w:tc>
        <w:tc>
          <w:tcPr>
            <w:tcW w:type="dxa" w:w="1080"/>
            <w:vAlign w:val="center"/>
            <w:shd w:fill="D9E7F3"/>
          </w:tcPr>
          <w:p>
            <w:pPr>
              <w:spacing w:after="0"/>
            </w:pPr>
            <w:r>
              <w:rPr>
                <w:b/>
                <w:sz w:val="16"/>
              </w:rPr>
              <w:t>数量</w:t>
            </w:r>
          </w:p>
        </w:tc>
        <w:tc>
          <w:tcPr>
            <w:tcW w:type="dxa" w:w="1944"/>
            <w:vAlign w:val="center"/>
            <w:shd w:fill="D9E7F3"/>
          </w:tcPr>
          <w:p>
            <w:pPr>
              <w:spacing w:after="0"/>
            </w:pPr>
            <w:r>
              <w:rPr>
                <w:b/>
                <w:sz w:val="16"/>
              </w:rPr>
              <w:t>建议原始规格</w:t>
            </w:r>
          </w:p>
        </w:tc>
        <w:tc>
          <w:tcPr>
            <w:tcW w:type="dxa" w:w="4392"/>
            <w:vAlign w:val="center"/>
            <w:shd w:fill="D9E7F3"/>
          </w:tcPr>
          <w:p>
            <w:pPr>
              <w:spacing w:after="0"/>
            </w:pPr>
            <w:r>
              <w:rPr>
                <w:b/>
                <w:sz w:val="16"/>
              </w:rPr>
              <w:t>约束</w:t>
            </w:r>
          </w:p>
        </w:tc>
      </w:tr>
      <w:tr>
        <w:tc>
          <w:tcPr>
            <w:tcW w:type="dxa" w:w="1944"/>
            <w:vAlign w:val="center"/>
          </w:tcPr>
          <w:p>
            <w:pPr>
              <w:spacing w:after="0"/>
            </w:pPr>
            <w:r>
              <w:rPr>
                <w:sz w:val="16"/>
              </w:rPr>
              <w:t>局外主界面背景</w:t>
            </w:r>
          </w:p>
        </w:tc>
        <w:tc>
          <w:tcPr>
            <w:tcW w:type="dxa" w:w="1080"/>
            <w:vAlign w:val="center"/>
          </w:tcPr>
          <w:p>
            <w:pPr>
              <w:spacing w:after="0"/>
            </w:pPr>
            <w:r>
              <w:rPr>
                <w:sz w:val="16"/>
              </w:rPr>
              <w:t>1</w:t>
            </w:r>
          </w:p>
        </w:tc>
        <w:tc>
          <w:tcPr>
            <w:tcW w:type="dxa" w:w="1944"/>
            <w:vAlign w:val="center"/>
          </w:tcPr>
          <w:p>
            <w:pPr>
              <w:spacing w:after="0"/>
            </w:pPr>
            <w:r>
              <w:rPr>
                <w:sz w:val="16"/>
              </w:rPr>
              <w:t>1920×1080</w:t>
            </w:r>
          </w:p>
        </w:tc>
        <w:tc>
          <w:tcPr>
            <w:tcW w:type="dxa" w:w="4392"/>
            <w:vAlign w:val="center"/>
          </w:tcPr>
          <w:p>
            <w:pPr>
              <w:spacing w:after="0"/>
            </w:pPr>
            <w:r>
              <w:rPr>
                <w:sz w:val="16"/>
              </w:rPr>
              <w:t>不承担功能信息；为主要面板留出视觉空间。</w:t>
            </w:r>
          </w:p>
        </w:tc>
      </w:tr>
      <w:tr>
        <w:tc>
          <w:tcPr>
            <w:tcW w:type="dxa" w:w="1944"/>
            <w:vAlign w:val="center"/>
          </w:tcPr>
          <w:p>
            <w:pPr>
              <w:spacing w:after="0"/>
            </w:pPr>
            <w:r>
              <w:rPr>
                <w:sz w:val="16"/>
              </w:rPr>
              <w:t>废弃工厂地图背景</w:t>
            </w:r>
          </w:p>
        </w:tc>
        <w:tc>
          <w:tcPr>
            <w:tcW w:type="dxa" w:w="1080"/>
            <w:vAlign w:val="center"/>
          </w:tcPr>
          <w:p>
            <w:pPr>
              <w:spacing w:after="0"/>
            </w:pPr>
            <w:r>
              <w:rPr>
                <w:sz w:val="16"/>
              </w:rPr>
              <w:t>1</w:t>
            </w:r>
          </w:p>
        </w:tc>
        <w:tc>
          <w:tcPr>
            <w:tcW w:type="dxa" w:w="1944"/>
            <w:vAlign w:val="center"/>
          </w:tcPr>
          <w:p>
            <w:pPr>
              <w:spacing w:after="0"/>
            </w:pPr>
            <w:r>
              <w:rPr>
                <w:sz w:val="16"/>
              </w:rPr>
              <w:t>1920×1080</w:t>
            </w:r>
          </w:p>
        </w:tc>
        <w:tc>
          <w:tcPr>
            <w:tcW w:type="dxa" w:w="4392"/>
            <w:vAlign w:val="center"/>
          </w:tcPr>
          <w:p>
            <w:pPr>
              <w:spacing w:after="0"/>
            </w:pPr>
            <w:r>
              <w:rPr>
                <w:sz w:val="16"/>
              </w:rPr>
              <w:t>俯视示意；区域按钮与文字不得画死。</w:t>
            </w:r>
          </w:p>
        </w:tc>
      </w:tr>
      <w:tr>
        <w:tc>
          <w:tcPr>
            <w:tcW w:type="dxa" w:w="1944"/>
            <w:vAlign w:val="center"/>
          </w:tcPr>
          <w:p>
            <w:pPr>
              <w:spacing w:after="0"/>
            </w:pPr>
            <w:r>
              <w:rPr>
                <w:sz w:val="16"/>
              </w:rPr>
              <w:t>五区域背景</w:t>
            </w:r>
          </w:p>
        </w:tc>
        <w:tc>
          <w:tcPr>
            <w:tcW w:type="dxa" w:w="1080"/>
            <w:vAlign w:val="center"/>
          </w:tcPr>
          <w:p>
            <w:pPr>
              <w:spacing w:after="0"/>
            </w:pPr>
            <w:r>
              <w:rPr>
                <w:sz w:val="16"/>
              </w:rPr>
              <w:t>5</w:t>
            </w:r>
          </w:p>
        </w:tc>
        <w:tc>
          <w:tcPr>
            <w:tcW w:type="dxa" w:w="1944"/>
            <w:vAlign w:val="center"/>
          </w:tcPr>
          <w:p>
            <w:pPr>
              <w:spacing w:after="0"/>
            </w:pPr>
            <w:r>
              <w:rPr>
                <w:sz w:val="16"/>
              </w:rPr>
              <w:t>1920×1080/张</w:t>
            </w:r>
          </w:p>
        </w:tc>
        <w:tc>
          <w:tcPr>
            <w:tcW w:type="dxa" w:w="4392"/>
            <w:vAlign w:val="center"/>
          </w:tcPr>
          <w:p>
            <w:pPr>
              <w:spacing w:after="0"/>
            </w:pPr>
            <w:r>
              <w:rPr>
                <w:sz w:val="16"/>
              </w:rPr>
              <w:t>厂区宿舍、单位食堂、厂区工作间、厂区办公楼、厂长办公室。</w:t>
            </w:r>
          </w:p>
        </w:tc>
      </w:tr>
      <w:tr>
        <w:tc>
          <w:tcPr>
            <w:tcW w:type="dxa" w:w="1944"/>
            <w:vAlign w:val="center"/>
          </w:tcPr>
          <w:p>
            <w:pPr>
              <w:spacing w:after="0"/>
            </w:pPr>
            <w:r>
              <w:rPr>
                <w:sz w:val="16"/>
              </w:rPr>
              <w:t>容器图标</w:t>
            </w:r>
          </w:p>
        </w:tc>
        <w:tc>
          <w:tcPr>
            <w:tcW w:type="dxa" w:w="1080"/>
            <w:vAlign w:val="center"/>
          </w:tcPr>
          <w:p>
            <w:pPr>
              <w:spacing w:after="0"/>
            </w:pPr>
            <w:r>
              <w:rPr>
                <w:sz w:val="16"/>
              </w:rPr>
              <w:t>约15～20</w:t>
            </w:r>
          </w:p>
        </w:tc>
        <w:tc>
          <w:tcPr>
            <w:tcW w:type="dxa" w:w="1944"/>
            <w:vAlign w:val="center"/>
          </w:tcPr>
          <w:p>
            <w:pPr>
              <w:spacing w:after="0"/>
            </w:pPr>
            <w:r>
              <w:rPr>
                <w:sz w:val="16"/>
              </w:rPr>
              <w:t>256×256/个</w:t>
            </w:r>
          </w:p>
        </w:tc>
        <w:tc>
          <w:tcPr>
            <w:tcW w:type="dxa" w:w="4392"/>
            <w:vAlign w:val="center"/>
          </w:tcPr>
          <w:p>
            <w:pPr>
              <w:spacing w:after="0"/>
            </w:pPr>
            <w:r>
              <w:rPr>
                <w:sz w:val="16"/>
              </w:rPr>
              <w:t>简化卡通；不得在图内烙死 C1～C5。</w:t>
            </w:r>
          </w:p>
        </w:tc>
      </w:tr>
      <w:tr>
        <w:tc>
          <w:tcPr>
            <w:tcW w:type="dxa" w:w="1944"/>
            <w:vAlign w:val="center"/>
          </w:tcPr>
          <w:p>
            <w:pPr>
              <w:spacing w:after="0"/>
            </w:pPr>
            <w:r>
              <w:rPr>
                <w:sz w:val="16"/>
              </w:rPr>
              <w:t>UI功能图标</w:t>
            </w:r>
          </w:p>
        </w:tc>
        <w:tc>
          <w:tcPr>
            <w:tcW w:type="dxa" w:w="1080"/>
            <w:vAlign w:val="center"/>
          </w:tcPr>
          <w:p>
            <w:pPr>
              <w:spacing w:after="0"/>
            </w:pPr>
            <w:r>
              <w:rPr>
                <w:sz w:val="16"/>
              </w:rPr>
              <w:t>约12～16</w:t>
            </w:r>
          </w:p>
        </w:tc>
        <w:tc>
          <w:tcPr>
            <w:tcW w:type="dxa" w:w="1944"/>
            <w:vAlign w:val="center"/>
          </w:tcPr>
          <w:p>
            <w:pPr>
              <w:spacing w:after="0"/>
            </w:pPr>
            <w:r>
              <w:rPr>
                <w:sz w:val="16"/>
              </w:rPr>
              <w:t>128×128/个</w:t>
            </w:r>
          </w:p>
        </w:tc>
        <w:tc>
          <w:tcPr>
            <w:tcW w:type="dxa" w:w="4392"/>
            <w:vAlign w:val="center"/>
          </w:tcPr>
          <w:p>
            <w:pPr>
              <w:spacing w:after="0"/>
            </w:pPr>
            <w:r>
              <w:rPr>
                <w:sz w:val="16"/>
              </w:rPr>
              <w:t>拾取、旋转、丢弃、背包、安全箱、仓库、货币、计时、撤离等。</w:t>
            </w:r>
          </w:p>
        </w:tc>
      </w:tr>
      <w:tr>
        <w:tc>
          <w:tcPr>
            <w:tcW w:type="dxa" w:w="1944"/>
            <w:vAlign w:val="center"/>
          </w:tcPr>
          <w:p>
            <w:pPr>
              <w:spacing w:after="0"/>
            </w:pPr>
            <w:r>
              <w:rPr>
                <w:sz w:val="16"/>
              </w:rPr>
              <w:t>Logo/游戏标题</w:t>
            </w:r>
          </w:p>
        </w:tc>
        <w:tc>
          <w:tcPr>
            <w:tcW w:type="dxa" w:w="1080"/>
            <w:vAlign w:val="center"/>
          </w:tcPr>
          <w:p>
            <w:pPr>
              <w:spacing w:after="0"/>
            </w:pPr>
            <w:r>
              <w:rPr>
                <w:sz w:val="16"/>
              </w:rPr>
              <w:t>1</w:t>
            </w:r>
          </w:p>
        </w:tc>
        <w:tc>
          <w:tcPr>
            <w:tcW w:type="dxa" w:w="1944"/>
            <w:vAlign w:val="center"/>
          </w:tcPr>
          <w:p>
            <w:pPr>
              <w:spacing w:after="0"/>
            </w:pPr>
            <w:r>
              <w:rPr>
                <w:sz w:val="16"/>
              </w:rPr>
              <w:t>约1024×512，透明底</w:t>
            </w:r>
          </w:p>
        </w:tc>
        <w:tc>
          <w:tcPr>
            <w:tcW w:type="dxa" w:w="4392"/>
            <w:vAlign w:val="center"/>
          </w:tcPr>
          <w:p>
            <w:pPr>
              <w:spacing w:after="0"/>
            </w:pPr>
            <w:r>
              <w:rPr>
                <w:sz w:val="16"/>
              </w:rPr>
              <w:t>不与固定分辨率界面绑定。</w:t>
            </w:r>
          </w:p>
        </w:tc>
      </w:tr>
    </w:tbl>
    <w:p>
      <w:pPr>
        <w:pStyle w:val="Heading3"/>
        <w:keepNext/>
      </w:pPr>
      <w:r>
        <w:t>动态 UI 资产原则</w:t>
      </w:r>
    </w:p>
    <w:p>
      <w:pPr>
        <w:pStyle w:val="ListBullet"/>
      </w:pPr>
      <w:r>
        <w:t>格子、未知遮罩、品质底板、进度条、选中框、按钮底板、普通面板等 SHOULD 优先由 UI 动态绘制或使用可伸缩组件，不制作固定尺寸图片。若引擎限制必须使用图片，MUST 保持可伸缩并不得把产品数据烙死在资源中。</w:t>
      </w:r>
    </w:p>
    <w:p>
      <w:pPr>
        <w:pStyle w:val="Heading1"/>
        <w:keepNext/>
      </w:pPr>
      <w:r>
        <w:t>4. 端到端流程与状态机</w:t>
      </w:r>
    </w:p>
    <w:p>
      <w:pPr>
        <w:pStyle w:val="Heading2"/>
        <w:keepNext/>
      </w:pPr>
      <w:r>
        <w:t>4.1 顶层流程</w:t>
      </w:r>
    </w:p>
    <w:p>
      <w:pPr>
        <w:pStyle w:val="ListNumber"/>
      </w:pPr>
      <w:r>
        <w:rPr>
          <w:rFonts w:ascii="Microsoft YaHei" w:hAnsi="Microsoft YaHei" w:eastAsia="Microsoft YaHei"/>
          <w:color w:val="1F2933"/>
        </w:rPr>
        <w:t>启动：加载局外数据并进入局外主状态。</w:t>
      </w:r>
    </w:p>
    <w:p>
      <w:pPr>
        <w:pStyle w:val="ListNumber"/>
      </w:pPr>
      <w:r>
        <w:rPr>
          <w:rFonts w:ascii="Microsoft YaHei" w:hAnsi="Microsoft YaHei" w:eastAsia="Microsoft YaHei"/>
          <w:color w:val="1F2933"/>
        </w:rPr>
        <w:t>入场准备：展示可用背包；玩家购买或选择背包；确认后扣除货币并建立本局装载状态。</w:t>
      </w:r>
    </w:p>
    <w:p>
      <w:pPr>
        <w:pStyle w:val="ListNumber"/>
      </w:pPr>
      <w:r>
        <w:rPr>
          <w:rFonts w:ascii="Microsoft YaHei" w:hAnsi="Microsoft YaHei" w:eastAsia="Microsoft YaHei"/>
          <w:color w:val="1F2933"/>
        </w:rPr>
        <w:t>进入地图：初始化本局数据并将总时间设为 180 秒。</w:t>
      </w:r>
    </w:p>
    <w:p>
      <w:pPr>
        <w:pStyle w:val="ListNumber"/>
      </w:pPr>
      <w:r>
        <w:rPr>
          <w:rFonts w:ascii="Microsoft YaHei" w:hAnsi="Microsoft YaHei" w:eastAsia="Microsoft YaHei"/>
          <w:color w:val="1F2933"/>
        </w:rPr>
        <w:t>局内探索：按尚未确定的地图交互形式移动/选择位置；该实现必须等待产品决策。</w:t>
      </w:r>
    </w:p>
    <w:p>
      <w:pPr>
        <w:pStyle w:val="ListNumber"/>
      </w:pPr>
      <w:r>
        <w:rPr>
          <w:rFonts w:ascii="Microsoft YaHei" w:hAnsi="Microsoft YaHei" w:eastAsia="Microsoft YaHei"/>
          <w:color w:val="1F2933"/>
        </w:rPr>
        <w:t>容器搜索：首次打开先展示未知物品数量与每件物品格子形状；按品质耗时逐件揭晓。</w:t>
      </w:r>
    </w:p>
    <w:p>
      <w:pPr>
        <w:pStyle w:val="ListNumber"/>
      </w:pPr>
      <w:r>
        <w:rPr>
          <w:rFonts w:ascii="Microsoft YaHei" w:hAnsi="Microsoft YaHei" w:eastAsia="Microsoft YaHei"/>
          <w:color w:val="1F2933"/>
        </w:rPr>
        <w:t>物品管理：在容器、背包、安全箱之间拾取、拖拽、替换、丢弃、旋转。</w:t>
      </w:r>
    </w:p>
    <w:p>
      <w:pPr>
        <w:pStyle w:val="ListNumber"/>
      </w:pPr>
      <w:r>
        <w:rPr>
          <w:rFonts w:ascii="Microsoft YaHei" w:hAnsi="Microsoft YaHei" w:eastAsia="Microsoft YaHei"/>
          <w:color w:val="1F2933"/>
        </w:rPr>
        <w:t>撤离解锁：完成搜索的容器累计达到 5 个后，从锁定切换为可撤离。</w:t>
      </w:r>
    </w:p>
    <w:p>
      <w:pPr>
        <w:pStyle w:val="ListNumber"/>
      </w:pPr>
      <w:r>
        <w:rPr>
          <w:rFonts w:ascii="Microsoft YaHei" w:hAnsi="Microsoft YaHei" w:eastAsia="Microsoft YaHei"/>
          <w:color w:val="1F2933"/>
        </w:rPr>
        <w:t>撤离：开始 15 秒撤离倒计时；总倒计时同时继续。</w:t>
      </w:r>
    </w:p>
    <w:p>
      <w:pPr>
        <w:pStyle w:val="ListNumber"/>
      </w:pPr>
      <w:r>
        <w:rPr>
          <w:rFonts w:ascii="Microsoft YaHei" w:hAnsi="Microsoft YaHei" w:eastAsia="Microsoft YaHei"/>
          <w:color w:val="1F2933"/>
        </w:rPr>
        <w:t>终局：撤离倒计时完成则成功；总计时先归零则失败。</w:t>
      </w:r>
    </w:p>
    <w:p>
      <w:pPr>
        <w:pStyle w:val="ListNumber"/>
      </w:pPr>
      <w:r>
        <w:rPr>
          <w:rFonts w:ascii="Microsoft YaHei" w:hAnsi="Microsoft YaHei" w:eastAsia="Microsoft YaHei"/>
          <w:color w:val="1F2933"/>
        </w:rPr>
        <w:t>结算：成功带回背包与安全箱；失败仅带回安全箱。结算只允许执行一次。</w:t>
      </w:r>
    </w:p>
    <w:p>
      <w:pPr>
        <w:pStyle w:val="ListNumber"/>
      </w:pPr>
      <w:r>
        <w:rPr>
          <w:rFonts w:ascii="Microsoft YaHei" w:hAnsi="Microsoft YaHei" w:eastAsia="Microsoft YaHei"/>
          <w:color w:val="1F2933"/>
        </w:rPr>
        <w:t>局外：带回物品进入仓库；可出售换取货币；可再次进入入场准备。</w:t>
      </w:r>
    </w:p>
    <w:p>
      <w:pPr>
        <w:pStyle w:val="Heading2"/>
        <w:keepNext/>
      </w:pPr>
      <w:r>
        <w:t>4.2 顶层状态定义</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600"/>
        <w:gridCol w:w="2200"/>
        <w:gridCol w:w="2900"/>
        <w:gridCol w:w="2660"/>
      </w:tblGrid>
      <w:tr>
        <w:trPr>
          <w:tblHeader w:val="true"/>
          <w:cantSplit/>
        </w:trPr>
        <w:tc>
          <w:tcPr>
            <w:tcW w:type="dxa" w:w="16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6"/>
              </w:rPr>
              <w:t>状态</w:t>
            </w:r>
          </w:p>
        </w:tc>
        <w:tc>
          <w:tcPr>
            <w:tcW w:type="dxa" w:w="22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6"/>
              </w:rPr>
              <w:t>进入条件</w:t>
            </w:r>
          </w:p>
        </w:tc>
        <w:tc>
          <w:tcPr>
            <w:tcW w:type="dxa" w:w="29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6"/>
              </w:rPr>
              <w:t>允许行为</w:t>
            </w:r>
          </w:p>
        </w:tc>
        <w:tc>
          <w:tcPr>
            <w:tcW w:type="dxa" w:w="26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6"/>
              </w:rPr>
              <w:t>离开条件</w:t>
            </w:r>
          </w:p>
        </w:tc>
      </w:tr>
      <w:tr>
        <w:trPr>
          <w:cantSplit/>
        </w:trPr>
        <w:tc>
          <w:tcPr>
            <w:tcW w:type="dxa" w:w="1600"/>
            <w:vAlign w:val="center"/>
          </w:tcPr>
          <w:p>
            <w:pPr>
              <w:spacing w:before="20" w:after="40" w:line="252" w:lineRule="auto"/>
            </w:pPr>
            <w:r>
              <w:rPr>
                <w:rFonts w:ascii="Microsoft YaHei" w:hAnsi="Microsoft YaHei" w:eastAsia="Microsoft YaHei"/>
                <w:color w:val="1F2933"/>
                <w:sz w:val="16"/>
              </w:rPr>
              <w:t>BOOT</w:t>
            </w:r>
          </w:p>
        </w:tc>
        <w:tc>
          <w:tcPr>
            <w:tcW w:type="dxa" w:w="2200"/>
            <w:vAlign w:val="center"/>
          </w:tcPr>
          <w:p>
            <w:pPr>
              <w:spacing w:before="20" w:after="40" w:line="252" w:lineRule="auto"/>
            </w:pPr>
            <w:r>
              <w:rPr>
                <w:rFonts w:ascii="Microsoft YaHei" w:hAnsi="Microsoft YaHei" w:eastAsia="Microsoft YaHei"/>
                <w:color w:val="1F2933"/>
                <w:sz w:val="16"/>
              </w:rPr>
              <w:t>程序启动</w:t>
            </w:r>
          </w:p>
        </w:tc>
        <w:tc>
          <w:tcPr>
            <w:tcW w:type="dxa" w:w="2900"/>
            <w:vAlign w:val="center"/>
          </w:tcPr>
          <w:p>
            <w:pPr>
              <w:spacing w:before="20" w:after="40" w:line="252" w:lineRule="auto"/>
            </w:pPr>
            <w:r>
              <w:rPr>
                <w:rFonts w:ascii="Microsoft YaHei" w:hAnsi="Microsoft YaHei" w:eastAsia="Microsoft YaHei"/>
                <w:color w:val="1F2933"/>
                <w:sz w:val="16"/>
              </w:rPr>
              <w:t>加载配置与局外数据</w:t>
            </w:r>
          </w:p>
        </w:tc>
        <w:tc>
          <w:tcPr>
            <w:tcW w:type="dxa" w:w="2660"/>
            <w:vAlign w:val="center"/>
          </w:tcPr>
          <w:p>
            <w:pPr>
              <w:spacing w:before="20" w:after="40" w:line="252" w:lineRule="auto"/>
            </w:pPr>
            <w:r>
              <w:rPr>
                <w:rFonts w:ascii="Microsoft YaHei" w:hAnsi="Microsoft YaHei" w:eastAsia="Microsoft YaHei"/>
                <w:color w:val="1F2933"/>
                <w:sz w:val="16"/>
              </w:rPr>
              <w:t>加载完成 → OUT_OF_RUN；加载失败 → ERROR</w:t>
            </w:r>
          </w:p>
        </w:tc>
      </w:tr>
      <w:tr>
        <w:trPr>
          <w:cantSplit/>
        </w:trPr>
        <w:tc>
          <w:tcPr>
            <w:tcW w:type="dxa" w:w="1600"/>
            <w:vAlign w:val="center"/>
          </w:tcPr>
          <w:p>
            <w:pPr>
              <w:spacing w:before="20" w:after="40" w:line="252" w:lineRule="auto"/>
            </w:pPr>
            <w:r>
              <w:rPr>
                <w:rFonts w:ascii="Microsoft YaHei" w:hAnsi="Microsoft YaHei" w:eastAsia="Microsoft YaHei"/>
                <w:color w:val="1F2933"/>
                <w:sz w:val="16"/>
              </w:rPr>
              <w:t>OUT_OF_RUN</w:t>
            </w:r>
          </w:p>
        </w:tc>
        <w:tc>
          <w:tcPr>
            <w:tcW w:type="dxa" w:w="2200"/>
            <w:vAlign w:val="center"/>
          </w:tcPr>
          <w:p>
            <w:pPr>
              <w:spacing w:before="20" w:after="40" w:line="252" w:lineRule="auto"/>
            </w:pPr>
            <w:r>
              <w:rPr>
                <w:rFonts w:ascii="Microsoft YaHei" w:hAnsi="Microsoft YaHei" w:eastAsia="Microsoft YaHei"/>
                <w:color w:val="1F2933"/>
                <w:sz w:val="16"/>
              </w:rPr>
              <w:t>启动完成或结算完成</w:t>
            </w:r>
          </w:p>
        </w:tc>
        <w:tc>
          <w:tcPr>
            <w:tcW w:type="dxa" w:w="2900"/>
            <w:vAlign w:val="center"/>
          </w:tcPr>
          <w:p>
            <w:pPr>
              <w:spacing w:before="20" w:after="40" w:line="252" w:lineRule="auto"/>
            </w:pPr>
            <w:r>
              <w:rPr>
                <w:rFonts w:ascii="Microsoft YaHei" w:hAnsi="Microsoft YaHei" w:eastAsia="Microsoft YaHei"/>
                <w:color w:val="1F2933"/>
                <w:sz w:val="16"/>
              </w:rPr>
              <w:t>查看仓库、出售、进入准备</w:t>
            </w:r>
          </w:p>
        </w:tc>
        <w:tc>
          <w:tcPr>
            <w:tcW w:type="dxa" w:w="2660"/>
            <w:vAlign w:val="center"/>
          </w:tcPr>
          <w:p>
            <w:pPr>
              <w:spacing w:before="20" w:after="40" w:line="252" w:lineRule="auto"/>
            </w:pPr>
            <w:r>
              <w:rPr>
                <w:rFonts w:ascii="Microsoft YaHei" w:hAnsi="Microsoft YaHei" w:eastAsia="Microsoft YaHei"/>
                <w:color w:val="1F2933"/>
                <w:sz w:val="16"/>
              </w:rPr>
              <w:t>选择开始 → LOADOUT</w:t>
            </w:r>
          </w:p>
        </w:tc>
      </w:tr>
      <w:tr>
        <w:trPr>
          <w:cantSplit/>
        </w:trPr>
        <w:tc>
          <w:tcPr>
            <w:tcW w:type="dxa" w:w="1600"/>
            <w:vAlign w:val="center"/>
          </w:tcPr>
          <w:p>
            <w:pPr>
              <w:spacing w:before="20" w:after="40" w:line="252" w:lineRule="auto"/>
            </w:pPr>
            <w:r>
              <w:rPr>
                <w:rFonts w:ascii="Microsoft YaHei" w:hAnsi="Microsoft YaHei" w:eastAsia="Microsoft YaHei"/>
                <w:color w:val="1F2933"/>
                <w:sz w:val="16"/>
              </w:rPr>
              <w:t>LOADOUT</w:t>
            </w:r>
          </w:p>
        </w:tc>
        <w:tc>
          <w:tcPr>
            <w:tcW w:type="dxa" w:w="2200"/>
            <w:vAlign w:val="center"/>
          </w:tcPr>
          <w:p>
            <w:pPr>
              <w:spacing w:before="20" w:after="40" w:line="252" w:lineRule="auto"/>
            </w:pPr>
            <w:r>
              <w:rPr>
                <w:rFonts w:ascii="Microsoft YaHei" w:hAnsi="Microsoft YaHei" w:eastAsia="Microsoft YaHei"/>
                <w:color w:val="1F2933"/>
                <w:sz w:val="16"/>
              </w:rPr>
              <w:t>开始新局</w:t>
            </w:r>
          </w:p>
        </w:tc>
        <w:tc>
          <w:tcPr>
            <w:tcW w:type="dxa" w:w="2900"/>
            <w:vAlign w:val="center"/>
          </w:tcPr>
          <w:p>
            <w:pPr>
              <w:spacing w:before="20" w:after="40" w:line="252" w:lineRule="auto"/>
            </w:pPr>
            <w:r>
              <w:rPr>
                <w:rFonts w:ascii="Microsoft YaHei" w:hAnsi="Microsoft YaHei" w:eastAsia="Microsoft YaHei"/>
                <w:color w:val="1F2933"/>
                <w:sz w:val="16"/>
              </w:rPr>
              <w:t>购买/选择背包；校验货币</w:t>
            </w:r>
          </w:p>
        </w:tc>
        <w:tc>
          <w:tcPr>
            <w:tcW w:type="dxa" w:w="2660"/>
            <w:vAlign w:val="center"/>
          </w:tcPr>
          <w:p>
            <w:pPr>
              <w:spacing w:before="20" w:after="40" w:line="252" w:lineRule="auto"/>
            </w:pPr>
            <w:r>
              <w:rPr>
                <w:rFonts w:ascii="Microsoft YaHei" w:hAnsi="Microsoft YaHei" w:eastAsia="Microsoft YaHei"/>
                <w:color w:val="1F2933"/>
                <w:sz w:val="16"/>
              </w:rPr>
              <w:t>确认且扣款成功 → RUN_INIT；取消 → OUT_OF_RUN</w:t>
            </w:r>
          </w:p>
        </w:tc>
      </w:tr>
      <w:tr>
        <w:trPr>
          <w:cantSplit/>
        </w:trPr>
        <w:tc>
          <w:tcPr>
            <w:tcW w:type="dxa" w:w="1600"/>
            <w:vAlign w:val="center"/>
          </w:tcPr>
          <w:p>
            <w:pPr>
              <w:spacing w:before="20" w:after="40" w:line="252" w:lineRule="auto"/>
            </w:pPr>
            <w:r>
              <w:rPr>
                <w:rFonts w:ascii="Microsoft YaHei" w:hAnsi="Microsoft YaHei" w:eastAsia="Microsoft YaHei"/>
                <w:color w:val="1F2933"/>
                <w:sz w:val="16"/>
              </w:rPr>
              <w:t>RUN_INIT</w:t>
            </w:r>
          </w:p>
        </w:tc>
        <w:tc>
          <w:tcPr>
            <w:tcW w:type="dxa" w:w="2200"/>
            <w:vAlign w:val="center"/>
          </w:tcPr>
          <w:p>
            <w:pPr>
              <w:spacing w:before="20" w:after="40" w:line="252" w:lineRule="auto"/>
            </w:pPr>
            <w:r>
              <w:rPr>
                <w:rFonts w:ascii="Microsoft YaHei" w:hAnsi="Microsoft YaHei" w:eastAsia="Microsoft YaHei"/>
                <w:color w:val="1F2933"/>
                <w:sz w:val="16"/>
              </w:rPr>
              <w:t>入场确认</w:t>
            </w:r>
          </w:p>
        </w:tc>
        <w:tc>
          <w:tcPr>
            <w:tcW w:type="dxa" w:w="2900"/>
            <w:vAlign w:val="center"/>
          </w:tcPr>
          <w:p>
            <w:pPr>
              <w:spacing w:before="20" w:after="40" w:line="252" w:lineRule="auto"/>
            </w:pPr>
            <w:r>
              <w:rPr>
                <w:rFonts w:ascii="Microsoft YaHei" w:hAnsi="Microsoft YaHei" w:eastAsia="Microsoft YaHei"/>
                <w:color w:val="1F2933"/>
                <w:sz w:val="16"/>
              </w:rPr>
              <w:t>创建唯一 Run、容器、物品与计时状态</w:t>
            </w:r>
          </w:p>
        </w:tc>
        <w:tc>
          <w:tcPr>
            <w:tcW w:type="dxa" w:w="2660"/>
            <w:vAlign w:val="center"/>
          </w:tcPr>
          <w:p>
            <w:pPr>
              <w:spacing w:before="20" w:after="40" w:line="252" w:lineRule="auto"/>
            </w:pPr>
            <w:r>
              <w:rPr>
                <w:rFonts w:ascii="Microsoft YaHei" w:hAnsi="Microsoft YaHei" w:eastAsia="Microsoft YaHei"/>
                <w:color w:val="1F2933"/>
                <w:sz w:val="16"/>
              </w:rPr>
              <w:t>初始化成功 → IN_RUN_LOCKED</w:t>
            </w:r>
          </w:p>
        </w:tc>
      </w:tr>
      <w:tr>
        <w:trPr>
          <w:cantSplit/>
        </w:trPr>
        <w:tc>
          <w:tcPr>
            <w:tcW w:type="dxa" w:w="1600"/>
            <w:vAlign w:val="center"/>
          </w:tcPr>
          <w:p>
            <w:pPr>
              <w:spacing w:before="20" w:after="40" w:line="252" w:lineRule="auto"/>
            </w:pPr>
            <w:r>
              <w:rPr>
                <w:rFonts w:ascii="Microsoft YaHei" w:hAnsi="Microsoft YaHei" w:eastAsia="Microsoft YaHei"/>
                <w:color w:val="1F2933"/>
                <w:sz w:val="16"/>
              </w:rPr>
              <w:t>IN_RUN_LOCKED</w:t>
            </w:r>
          </w:p>
        </w:tc>
        <w:tc>
          <w:tcPr>
            <w:tcW w:type="dxa" w:w="2200"/>
            <w:vAlign w:val="center"/>
          </w:tcPr>
          <w:p>
            <w:pPr>
              <w:spacing w:before="20" w:after="40" w:line="252" w:lineRule="auto"/>
            </w:pPr>
            <w:r>
              <w:rPr>
                <w:rFonts w:ascii="Microsoft YaHei" w:hAnsi="Microsoft YaHei" w:eastAsia="Microsoft YaHei"/>
                <w:color w:val="1F2933"/>
                <w:sz w:val="16"/>
              </w:rPr>
              <w:t>对局开始且完成数&lt;5</w:t>
            </w:r>
          </w:p>
        </w:tc>
        <w:tc>
          <w:tcPr>
            <w:tcW w:type="dxa" w:w="2900"/>
            <w:vAlign w:val="center"/>
          </w:tcPr>
          <w:p>
            <w:pPr>
              <w:spacing w:before="20" w:after="40" w:line="252" w:lineRule="auto"/>
            </w:pPr>
            <w:r>
              <w:rPr>
                <w:rFonts w:ascii="Microsoft YaHei" w:hAnsi="Microsoft YaHei" w:eastAsia="Microsoft YaHei"/>
                <w:color w:val="1F2933"/>
                <w:sz w:val="16"/>
              </w:rPr>
              <w:t>搜索、整理、丢弃；不可撤离</w:t>
            </w:r>
          </w:p>
        </w:tc>
        <w:tc>
          <w:tcPr>
            <w:tcW w:type="dxa" w:w="2660"/>
            <w:vAlign w:val="center"/>
          </w:tcPr>
          <w:p>
            <w:pPr>
              <w:spacing w:before="20" w:after="40" w:line="252" w:lineRule="auto"/>
            </w:pPr>
            <w:r>
              <w:rPr>
                <w:rFonts w:ascii="Microsoft YaHei" w:hAnsi="Microsoft YaHei" w:eastAsia="Microsoft YaHei"/>
                <w:color w:val="1F2933"/>
                <w:sz w:val="16"/>
              </w:rPr>
              <w:t>完成数≥5 → IN_RUN_EXTRACTABLE；总时间为0 → RUN_FAILED</w:t>
            </w:r>
          </w:p>
        </w:tc>
      </w:tr>
      <w:tr>
        <w:trPr>
          <w:cantSplit/>
        </w:trPr>
        <w:tc>
          <w:tcPr>
            <w:tcW w:type="dxa" w:w="1600"/>
            <w:vAlign w:val="center"/>
          </w:tcPr>
          <w:p>
            <w:pPr>
              <w:spacing w:before="20" w:after="40" w:line="252" w:lineRule="auto"/>
            </w:pPr>
            <w:r>
              <w:rPr>
                <w:rFonts w:ascii="Microsoft YaHei" w:hAnsi="Microsoft YaHei" w:eastAsia="Microsoft YaHei"/>
                <w:color w:val="1F2933"/>
                <w:sz w:val="16"/>
              </w:rPr>
              <w:t>IN_RUN_EXTRACTABLE</w:t>
            </w:r>
          </w:p>
        </w:tc>
        <w:tc>
          <w:tcPr>
            <w:tcW w:type="dxa" w:w="2200"/>
            <w:vAlign w:val="center"/>
          </w:tcPr>
          <w:p>
            <w:pPr>
              <w:spacing w:before="20" w:after="40" w:line="252" w:lineRule="auto"/>
            </w:pPr>
            <w:r>
              <w:rPr>
                <w:rFonts w:ascii="Microsoft YaHei" w:hAnsi="Microsoft YaHei" w:eastAsia="Microsoft YaHei"/>
                <w:color w:val="1F2933"/>
                <w:sz w:val="16"/>
              </w:rPr>
              <w:t>完成数≥5</w:t>
            </w:r>
          </w:p>
        </w:tc>
        <w:tc>
          <w:tcPr>
            <w:tcW w:type="dxa" w:w="2900"/>
            <w:vAlign w:val="center"/>
          </w:tcPr>
          <w:p>
            <w:pPr>
              <w:spacing w:before="20" w:after="40" w:line="252" w:lineRule="auto"/>
            </w:pPr>
            <w:r>
              <w:rPr>
                <w:rFonts w:ascii="Microsoft YaHei" w:hAnsi="Microsoft YaHei" w:eastAsia="Microsoft YaHei"/>
                <w:color w:val="1F2933"/>
                <w:sz w:val="16"/>
              </w:rPr>
              <w:t>继续搜索/整理或开始撤离</w:t>
            </w:r>
          </w:p>
        </w:tc>
        <w:tc>
          <w:tcPr>
            <w:tcW w:type="dxa" w:w="2660"/>
            <w:vAlign w:val="center"/>
          </w:tcPr>
          <w:p>
            <w:pPr>
              <w:spacing w:before="20" w:after="40" w:line="252" w:lineRule="auto"/>
            </w:pPr>
            <w:r>
              <w:rPr>
                <w:rFonts w:ascii="Microsoft YaHei" w:hAnsi="Microsoft YaHei" w:eastAsia="Microsoft YaHei"/>
                <w:color w:val="1F2933"/>
                <w:sz w:val="16"/>
              </w:rPr>
              <w:t>开始撤离 → EXTRACTING；总时间为0 → RUN_FAILED</w:t>
            </w:r>
          </w:p>
        </w:tc>
      </w:tr>
      <w:tr>
        <w:trPr>
          <w:cantSplit/>
        </w:trPr>
        <w:tc>
          <w:tcPr>
            <w:tcW w:type="dxa" w:w="1600"/>
            <w:vAlign w:val="center"/>
          </w:tcPr>
          <w:p>
            <w:pPr>
              <w:spacing w:before="20" w:after="40" w:line="252" w:lineRule="auto"/>
            </w:pPr>
            <w:r>
              <w:rPr>
                <w:rFonts w:ascii="Microsoft YaHei" w:hAnsi="Microsoft YaHei" w:eastAsia="Microsoft YaHei"/>
                <w:color w:val="1F2933"/>
                <w:sz w:val="16"/>
              </w:rPr>
              <w:t>EXTRACTING</w:t>
            </w:r>
          </w:p>
        </w:tc>
        <w:tc>
          <w:tcPr>
            <w:tcW w:type="dxa" w:w="2200"/>
            <w:vAlign w:val="center"/>
          </w:tcPr>
          <w:p>
            <w:pPr>
              <w:spacing w:before="20" w:after="40" w:line="252" w:lineRule="auto"/>
            </w:pPr>
            <w:r>
              <w:rPr>
                <w:rFonts w:ascii="Microsoft YaHei" w:hAnsi="Microsoft YaHei" w:eastAsia="Microsoft YaHei"/>
                <w:color w:val="1F2933"/>
                <w:sz w:val="16"/>
              </w:rPr>
              <w:t>撤离已解锁且玩家触发</w:t>
            </w:r>
          </w:p>
        </w:tc>
        <w:tc>
          <w:tcPr>
            <w:tcW w:type="dxa" w:w="2900"/>
            <w:vAlign w:val="center"/>
          </w:tcPr>
          <w:p>
            <w:pPr>
              <w:spacing w:before="20" w:after="40" w:line="252" w:lineRule="auto"/>
            </w:pPr>
            <w:r>
              <w:rPr>
                <w:rFonts w:ascii="Microsoft YaHei" w:hAnsi="Microsoft YaHei" w:eastAsia="Microsoft YaHei"/>
                <w:color w:val="1F2933"/>
                <w:sz w:val="16"/>
              </w:rPr>
              <w:t>撤离读条；总计时继续</w:t>
            </w:r>
          </w:p>
        </w:tc>
        <w:tc>
          <w:tcPr>
            <w:tcW w:type="dxa" w:w="2660"/>
            <w:vAlign w:val="center"/>
          </w:tcPr>
          <w:p>
            <w:pPr>
              <w:spacing w:before="20" w:after="40" w:line="252" w:lineRule="auto"/>
            </w:pPr>
            <w:r>
              <w:rPr>
                <w:rFonts w:ascii="Microsoft YaHei" w:hAnsi="Microsoft YaHei" w:eastAsia="Microsoft YaHei"/>
                <w:color w:val="1F2933"/>
                <w:sz w:val="16"/>
              </w:rPr>
              <w:t>撤离读条先完成 → RUN_SUCCEEDED；总时间先为0 → RUN_FAILED</w:t>
            </w:r>
          </w:p>
        </w:tc>
      </w:tr>
      <w:tr>
        <w:trPr>
          <w:cantSplit/>
        </w:trPr>
        <w:tc>
          <w:tcPr>
            <w:tcW w:type="dxa" w:w="1600"/>
            <w:vAlign w:val="center"/>
          </w:tcPr>
          <w:p>
            <w:pPr>
              <w:spacing w:before="20" w:after="40" w:line="252" w:lineRule="auto"/>
            </w:pPr>
            <w:r>
              <w:rPr>
                <w:rFonts w:ascii="Microsoft YaHei" w:hAnsi="Microsoft YaHei" w:eastAsia="Microsoft YaHei"/>
                <w:color w:val="1F2933"/>
                <w:sz w:val="16"/>
              </w:rPr>
              <w:t>RUN_SUCCEEDED</w:t>
            </w:r>
          </w:p>
        </w:tc>
        <w:tc>
          <w:tcPr>
            <w:tcW w:type="dxa" w:w="2200"/>
            <w:vAlign w:val="center"/>
          </w:tcPr>
          <w:p>
            <w:pPr>
              <w:spacing w:before="20" w:after="40" w:line="252" w:lineRule="auto"/>
            </w:pPr>
            <w:r>
              <w:rPr>
                <w:rFonts w:ascii="Microsoft YaHei" w:hAnsi="Microsoft YaHei" w:eastAsia="Microsoft YaHei"/>
                <w:color w:val="1F2933"/>
                <w:sz w:val="16"/>
              </w:rPr>
              <w:t>撤离读条完成</w:t>
            </w:r>
          </w:p>
        </w:tc>
        <w:tc>
          <w:tcPr>
            <w:tcW w:type="dxa" w:w="2900"/>
            <w:vAlign w:val="center"/>
          </w:tcPr>
          <w:p>
            <w:pPr>
              <w:spacing w:before="20" w:after="40" w:line="252" w:lineRule="auto"/>
            </w:pPr>
            <w:r>
              <w:rPr>
                <w:rFonts w:ascii="Microsoft YaHei" w:hAnsi="Microsoft YaHei" w:eastAsia="Microsoft YaHei"/>
                <w:color w:val="1F2933"/>
                <w:sz w:val="16"/>
              </w:rPr>
              <w:t>执行一次成功结算</w:t>
            </w:r>
          </w:p>
        </w:tc>
        <w:tc>
          <w:tcPr>
            <w:tcW w:type="dxa" w:w="2660"/>
            <w:vAlign w:val="center"/>
          </w:tcPr>
          <w:p>
            <w:pPr>
              <w:spacing w:before="20" w:after="40" w:line="252" w:lineRule="auto"/>
            </w:pPr>
            <w:r>
              <w:rPr>
                <w:rFonts w:ascii="Microsoft YaHei" w:hAnsi="Microsoft YaHei" w:eastAsia="Microsoft YaHei"/>
                <w:color w:val="1F2933"/>
                <w:sz w:val="16"/>
              </w:rPr>
              <w:t>结算成功 → SETTLED</w:t>
            </w:r>
          </w:p>
        </w:tc>
      </w:tr>
      <w:tr>
        <w:trPr>
          <w:cantSplit/>
        </w:trPr>
        <w:tc>
          <w:tcPr>
            <w:tcW w:type="dxa" w:w="1600"/>
            <w:vAlign w:val="center"/>
          </w:tcPr>
          <w:p>
            <w:pPr>
              <w:spacing w:before="20" w:after="40" w:line="252" w:lineRule="auto"/>
            </w:pPr>
            <w:r>
              <w:rPr>
                <w:rFonts w:ascii="Microsoft YaHei" w:hAnsi="Microsoft YaHei" w:eastAsia="Microsoft YaHei"/>
                <w:color w:val="1F2933"/>
                <w:sz w:val="16"/>
              </w:rPr>
              <w:t>RUN_FAILED</w:t>
            </w:r>
          </w:p>
        </w:tc>
        <w:tc>
          <w:tcPr>
            <w:tcW w:type="dxa" w:w="2200"/>
            <w:vAlign w:val="center"/>
          </w:tcPr>
          <w:p>
            <w:pPr>
              <w:spacing w:before="20" w:after="40" w:line="252" w:lineRule="auto"/>
            </w:pPr>
            <w:r>
              <w:rPr>
                <w:rFonts w:ascii="Microsoft YaHei" w:hAnsi="Microsoft YaHei" w:eastAsia="Microsoft YaHei"/>
                <w:color w:val="1F2933"/>
                <w:sz w:val="16"/>
              </w:rPr>
              <w:t>总时间归零或其他已批准失败条件</w:t>
            </w:r>
          </w:p>
        </w:tc>
        <w:tc>
          <w:tcPr>
            <w:tcW w:type="dxa" w:w="2900"/>
            <w:vAlign w:val="center"/>
          </w:tcPr>
          <w:p>
            <w:pPr>
              <w:spacing w:before="20" w:after="40" w:line="252" w:lineRule="auto"/>
            </w:pPr>
            <w:r>
              <w:rPr>
                <w:rFonts w:ascii="Microsoft YaHei" w:hAnsi="Microsoft YaHei" w:eastAsia="Microsoft YaHei"/>
                <w:color w:val="1F2933"/>
                <w:sz w:val="16"/>
              </w:rPr>
              <w:t>执行一次失败结算</w:t>
            </w:r>
          </w:p>
        </w:tc>
        <w:tc>
          <w:tcPr>
            <w:tcW w:type="dxa" w:w="2660"/>
            <w:vAlign w:val="center"/>
          </w:tcPr>
          <w:p>
            <w:pPr>
              <w:spacing w:before="20" w:after="40" w:line="252" w:lineRule="auto"/>
            </w:pPr>
            <w:r>
              <w:rPr>
                <w:rFonts w:ascii="Microsoft YaHei" w:hAnsi="Microsoft YaHei" w:eastAsia="Microsoft YaHei"/>
                <w:color w:val="1F2933"/>
                <w:sz w:val="16"/>
              </w:rPr>
              <w:t>结算成功 → SETTLED</w:t>
            </w:r>
          </w:p>
        </w:tc>
      </w:tr>
      <w:tr>
        <w:trPr>
          <w:cantSplit/>
        </w:trPr>
        <w:tc>
          <w:tcPr>
            <w:tcW w:type="dxa" w:w="1600"/>
            <w:vAlign w:val="center"/>
          </w:tcPr>
          <w:p>
            <w:pPr>
              <w:spacing w:before="20" w:after="40" w:line="252" w:lineRule="auto"/>
            </w:pPr>
            <w:r>
              <w:rPr>
                <w:rFonts w:ascii="Microsoft YaHei" w:hAnsi="Microsoft YaHei" w:eastAsia="Microsoft YaHei"/>
                <w:color w:val="1F2933"/>
                <w:sz w:val="16"/>
              </w:rPr>
              <w:t>SETTLED</w:t>
            </w:r>
          </w:p>
        </w:tc>
        <w:tc>
          <w:tcPr>
            <w:tcW w:type="dxa" w:w="2200"/>
            <w:vAlign w:val="center"/>
          </w:tcPr>
          <w:p>
            <w:pPr>
              <w:spacing w:before="20" w:after="40" w:line="252" w:lineRule="auto"/>
            </w:pPr>
            <w:r>
              <w:rPr>
                <w:rFonts w:ascii="Microsoft YaHei" w:hAnsi="Microsoft YaHei" w:eastAsia="Microsoft YaHei"/>
                <w:color w:val="1F2933"/>
                <w:sz w:val="16"/>
              </w:rPr>
              <w:t>结算完成</w:t>
            </w:r>
          </w:p>
        </w:tc>
        <w:tc>
          <w:tcPr>
            <w:tcW w:type="dxa" w:w="2900"/>
            <w:vAlign w:val="center"/>
          </w:tcPr>
          <w:p>
            <w:pPr>
              <w:spacing w:before="20" w:after="40" w:line="252" w:lineRule="auto"/>
            </w:pPr>
            <w:r>
              <w:rPr>
                <w:rFonts w:ascii="Microsoft YaHei" w:hAnsi="Microsoft YaHei" w:eastAsia="Microsoft YaHei"/>
                <w:color w:val="1F2933"/>
                <w:sz w:val="16"/>
              </w:rPr>
              <w:t>展示结果并持久化局外结果</w:t>
            </w:r>
          </w:p>
        </w:tc>
        <w:tc>
          <w:tcPr>
            <w:tcW w:type="dxa" w:w="2660"/>
            <w:vAlign w:val="center"/>
          </w:tcPr>
          <w:p>
            <w:pPr>
              <w:spacing w:before="20" w:after="40" w:line="252" w:lineRule="auto"/>
            </w:pPr>
            <w:r>
              <w:rPr>
                <w:rFonts w:ascii="Microsoft YaHei" w:hAnsi="Microsoft YaHei" w:eastAsia="Microsoft YaHei"/>
                <w:color w:val="1F2933"/>
                <w:sz w:val="16"/>
              </w:rPr>
              <w:t>确认 → OUT_OF_RUN</w:t>
            </w:r>
          </w:p>
        </w:tc>
      </w:tr>
      <w:tr>
        <w:trPr>
          <w:cantSplit/>
        </w:trPr>
        <w:tc>
          <w:tcPr>
            <w:tcW w:type="dxa" w:w="1600"/>
            <w:vAlign w:val="center"/>
          </w:tcPr>
          <w:p>
            <w:pPr>
              <w:spacing w:before="20" w:after="40" w:line="252" w:lineRule="auto"/>
            </w:pPr>
            <w:r>
              <w:rPr>
                <w:rFonts w:ascii="Microsoft YaHei" w:hAnsi="Microsoft YaHei" w:eastAsia="Microsoft YaHei"/>
                <w:color w:val="1F2933"/>
                <w:sz w:val="16"/>
              </w:rPr>
              <w:t>ERROR</w:t>
            </w:r>
          </w:p>
        </w:tc>
        <w:tc>
          <w:tcPr>
            <w:tcW w:type="dxa" w:w="2200"/>
            <w:vAlign w:val="center"/>
          </w:tcPr>
          <w:p>
            <w:pPr>
              <w:spacing w:before="20" w:after="40" w:line="252" w:lineRule="auto"/>
            </w:pPr>
            <w:r>
              <w:rPr>
                <w:rFonts w:ascii="Microsoft YaHei" w:hAnsi="Microsoft YaHei" w:eastAsia="Microsoft YaHei"/>
                <w:color w:val="1F2933"/>
                <w:sz w:val="16"/>
              </w:rPr>
              <w:t>不可恢复错误</w:t>
            </w:r>
          </w:p>
        </w:tc>
        <w:tc>
          <w:tcPr>
            <w:tcW w:type="dxa" w:w="2900"/>
            <w:vAlign w:val="center"/>
          </w:tcPr>
          <w:p>
            <w:pPr>
              <w:spacing w:before="20" w:after="40" w:line="252" w:lineRule="auto"/>
            </w:pPr>
            <w:r>
              <w:rPr>
                <w:rFonts w:ascii="Microsoft YaHei" w:hAnsi="Microsoft YaHei" w:eastAsia="Microsoft YaHei"/>
                <w:color w:val="1F2933"/>
                <w:sz w:val="16"/>
              </w:rPr>
              <w:t>显示错误、保留诊断信息</w:t>
            </w:r>
          </w:p>
        </w:tc>
        <w:tc>
          <w:tcPr>
            <w:tcW w:type="dxa" w:w="2660"/>
            <w:vAlign w:val="center"/>
          </w:tcPr>
          <w:p>
            <w:pPr>
              <w:spacing w:before="20" w:after="40" w:line="252" w:lineRule="auto"/>
            </w:pPr>
            <w:r>
              <w:rPr>
                <w:rFonts w:ascii="Microsoft YaHei" w:hAnsi="Microsoft YaHei" w:eastAsia="Microsoft YaHei"/>
                <w:color w:val="1F2933"/>
                <w:sz w:val="16"/>
              </w:rPr>
              <w:t>恢复策略未确定；不得吞错后继续污染数据</w:t>
            </w:r>
          </w:p>
        </w:tc>
      </w:tr>
    </w:tbl>
    <w:p>
      <w:pPr>
        <w:spacing w:after="0"/>
      </w:pPr>
    </w:p>
    <w:p>
      <w:pPr>
        <w:pStyle w:val="Heading2"/>
        <w:keepNext/>
      </w:pPr>
      <w:r>
        <w:t>4.3 搜索子状态</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500"/>
        <w:gridCol w:w="3960"/>
      </w:tblGrid>
      <w:tr>
        <w:trPr>
          <w:tblHeader w:val="true"/>
          <w:cantSplit/>
        </w:trPr>
        <w:tc>
          <w:tcPr>
            <w:tcW w:type="dxa" w:w="19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状态</w:t>
            </w:r>
          </w:p>
        </w:tc>
        <w:tc>
          <w:tcPr>
            <w:tcW w:type="dxa" w:w="35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必须表现</w:t>
            </w:r>
          </w:p>
        </w:tc>
        <w:tc>
          <w:tcPr>
            <w:tcW w:type="dxa" w:w="39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说明</w:t>
            </w:r>
          </w:p>
        </w:tc>
      </w:tr>
      <w:tr>
        <w:trPr>
          <w:cantSplit/>
        </w:trPr>
        <w:tc>
          <w:tcPr>
            <w:tcW w:type="dxa" w:w="1900"/>
            <w:vAlign w:val="center"/>
          </w:tcPr>
          <w:p>
            <w:pPr>
              <w:spacing w:before="20" w:after="40" w:line="252" w:lineRule="auto"/>
            </w:pPr>
            <w:r>
              <w:rPr>
                <w:rFonts w:ascii="Microsoft YaHei" w:hAnsi="Microsoft YaHei" w:eastAsia="Microsoft YaHei"/>
                <w:color w:val="1F2933"/>
                <w:sz w:val="18"/>
              </w:rPr>
              <w:t>UNOPENED</w:t>
            </w:r>
          </w:p>
        </w:tc>
        <w:tc>
          <w:tcPr>
            <w:tcW w:type="dxa" w:w="3500"/>
            <w:vAlign w:val="center"/>
          </w:tcPr>
          <w:p>
            <w:pPr>
              <w:spacing w:before="20" w:after="40" w:line="252" w:lineRule="auto"/>
            </w:pPr>
            <w:r>
              <w:rPr>
                <w:rFonts w:ascii="Microsoft YaHei" w:hAnsi="Microsoft YaHei" w:eastAsia="Microsoft YaHei"/>
                <w:color w:val="1F2933"/>
                <w:sz w:val="18"/>
              </w:rPr>
              <w:t>容器未打开</w:t>
            </w:r>
          </w:p>
        </w:tc>
        <w:tc>
          <w:tcPr>
            <w:tcW w:type="dxa" w:w="3960"/>
            <w:vAlign w:val="center"/>
          </w:tcPr>
          <w:p>
            <w:pPr>
              <w:spacing w:before="20" w:after="40" w:line="252" w:lineRule="auto"/>
            </w:pPr>
            <w:r>
              <w:rPr>
                <w:rFonts w:ascii="Microsoft YaHei" w:hAnsi="Microsoft YaHei" w:eastAsia="Microsoft YaHei"/>
                <w:color w:val="1F2933"/>
                <w:sz w:val="18"/>
              </w:rPr>
              <w:t>不得提前暴露物品身份、品质或价值。</w:t>
            </w:r>
          </w:p>
        </w:tc>
      </w:tr>
      <w:tr>
        <w:trPr>
          <w:cantSplit/>
        </w:trPr>
        <w:tc>
          <w:tcPr>
            <w:tcW w:type="dxa" w:w="1900"/>
            <w:vAlign w:val="center"/>
          </w:tcPr>
          <w:p>
            <w:pPr>
              <w:spacing w:before="20" w:after="40" w:line="252" w:lineRule="auto"/>
            </w:pPr>
            <w:r>
              <w:rPr>
                <w:rFonts w:ascii="Microsoft YaHei" w:hAnsi="Microsoft YaHei" w:eastAsia="Microsoft YaHei"/>
                <w:color w:val="1F2933"/>
                <w:sz w:val="18"/>
              </w:rPr>
              <w:t>MASKED</w:t>
            </w:r>
          </w:p>
        </w:tc>
        <w:tc>
          <w:tcPr>
            <w:tcW w:type="dxa" w:w="3500"/>
            <w:vAlign w:val="center"/>
          </w:tcPr>
          <w:p>
            <w:pPr>
              <w:spacing w:before="20" w:after="40" w:line="252" w:lineRule="auto"/>
            </w:pPr>
            <w:r>
              <w:rPr>
                <w:rFonts w:ascii="Microsoft YaHei" w:hAnsi="Microsoft YaHei" w:eastAsia="Microsoft YaHei"/>
                <w:color w:val="1F2933"/>
                <w:sz w:val="18"/>
              </w:rPr>
              <w:t>显示物品数量与每件物品的格子形状</w:t>
            </w:r>
          </w:p>
        </w:tc>
        <w:tc>
          <w:tcPr>
            <w:tcW w:type="dxa" w:w="3960"/>
            <w:vAlign w:val="center"/>
          </w:tcPr>
          <w:p>
            <w:r>
              <w:t>MUST 覆盖当前方向完整占格并有清晰外描边；同尺寸视觉一致；禁止剪影/造型蒙版；不得泄露身份、类别、品质或价值。</w:t>
            </w:r>
          </w:p>
        </w:tc>
      </w:tr>
      <w:tr>
        <w:trPr>
          <w:cantSplit/>
        </w:trPr>
        <w:tc>
          <w:tcPr>
            <w:tcW w:type="dxa" w:w="1900"/>
            <w:vAlign w:val="center"/>
          </w:tcPr>
          <w:p>
            <w:pPr>
              <w:spacing w:before="20" w:after="40" w:line="252" w:lineRule="auto"/>
            </w:pPr>
            <w:r>
              <w:rPr>
                <w:rFonts w:ascii="Microsoft YaHei" w:hAnsi="Microsoft YaHei" w:eastAsia="Microsoft YaHei"/>
                <w:color w:val="1F2933"/>
                <w:sz w:val="18"/>
              </w:rPr>
              <w:t>REVEALING</w:t>
            </w:r>
          </w:p>
        </w:tc>
        <w:tc>
          <w:tcPr>
            <w:tcW w:type="dxa" w:w="3500"/>
            <w:vAlign w:val="center"/>
          </w:tcPr>
          <w:p>
            <w:pPr>
              <w:spacing w:before="20" w:after="40" w:line="252" w:lineRule="auto"/>
            </w:pPr>
            <w:r>
              <w:rPr>
                <w:rFonts w:ascii="Microsoft YaHei" w:hAnsi="Microsoft YaHei" w:eastAsia="Microsoft YaHei"/>
                <w:color w:val="1F2933"/>
                <w:sz w:val="18"/>
              </w:rPr>
              <w:t>正在对某件物品计时</w:t>
            </w:r>
          </w:p>
        </w:tc>
        <w:tc>
          <w:tcPr>
            <w:tcW w:type="dxa" w:w="3960"/>
            <w:vAlign w:val="center"/>
          </w:tcPr>
          <w:p>
            <w:pPr>
              <w:spacing w:before="20" w:after="40" w:line="252" w:lineRule="auto"/>
            </w:pPr>
            <w:r>
              <w:rPr>
                <w:rFonts w:ascii="Microsoft YaHei" w:hAnsi="Microsoft YaHei" w:eastAsia="Microsoft YaHei"/>
                <w:color w:val="1F2933"/>
                <w:sz w:val="18"/>
              </w:rPr>
              <w:t>耗时由该物品品质决定；搜索顺序是 TBD。</w:t>
            </w:r>
          </w:p>
        </w:tc>
      </w:tr>
      <w:tr>
        <w:trPr>
          <w:cantSplit/>
        </w:trPr>
        <w:tc>
          <w:tcPr>
            <w:tcW w:type="dxa" w:w="1900"/>
            <w:vAlign w:val="center"/>
          </w:tcPr>
          <w:p>
            <w:pPr>
              <w:spacing w:before="20" w:after="40" w:line="252" w:lineRule="auto"/>
            </w:pPr>
            <w:r>
              <w:rPr>
                <w:rFonts w:ascii="Microsoft YaHei" w:hAnsi="Microsoft YaHei" w:eastAsia="Microsoft YaHei"/>
                <w:color w:val="1F2933"/>
                <w:sz w:val="18"/>
              </w:rPr>
              <w:t>PARTIALLY_REVEALED</w:t>
            </w:r>
          </w:p>
        </w:tc>
        <w:tc>
          <w:tcPr>
            <w:tcW w:type="dxa" w:w="3500"/>
            <w:vAlign w:val="center"/>
          </w:tcPr>
          <w:p>
            <w:pPr>
              <w:spacing w:before="20" w:after="40" w:line="252" w:lineRule="auto"/>
            </w:pPr>
            <w:r>
              <w:rPr>
                <w:rFonts w:ascii="Microsoft YaHei" w:hAnsi="Microsoft YaHei" w:eastAsia="Microsoft YaHei"/>
                <w:color w:val="1F2933"/>
                <w:sz w:val="18"/>
              </w:rPr>
              <w:t>已有已揭晓物品，仍有遮罩物品</w:t>
            </w:r>
          </w:p>
        </w:tc>
        <w:tc>
          <w:tcPr>
            <w:tcW w:type="dxa" w:w="3960"/>
            <w:vAlign w:val="center"/>
          </w:tcPr>
          <w:p>
            <w:pPr>
              <w:spacing w:before="20" w:after="40" w:line="252" w:lineRule="auto"/>
            </w:pPr>
            <w:r>
              <w:rPr>
                <w:rFonts w:ascii="Microsoft YaHei" w:hAnsi="Microsoft YaHei" w:eastAsia="Microsoft YaHei"/>
                <w:color w:val="1F2933"/>
                <w:sz w:val="18"/>
              </w:rPr>
              <w:t>搜索能否中断/恢复是 TBD；不得自行确定行为。</w:t>
            </w:r>
          </w:p>
        </w:tc>
      </w:tr>
      <w:tr>
        <w:trPr>
          <w:cantSplit/>
        </w:trPr>
        <w:tc>
          <w:tcPr>
            <w:tcW w:type="dxa" w:w="1900"/>
            <w:vAlign w:val="center"/>
          </w:tcPr>
          <w:p>
            <w:pPr>
              <w:spacing w:before="20" w:after="40" w:line="252" w:lineRule="auto"/>
            </w:pPr>
            <w:r>
              <w:rPr>
                <w:rFonts w:ascii="Microsoft YaHei" w:hAnsi="Microsoft YaHei" w:eastAsia="Microsoft YaHei"/>
                <w:color w:val="1F2933"/>
                <w:sz w:val="18"/>
              </w:rPr>
              <w:t>COMPLETED</w:t>
            </w:r>
          </w:p>
        </w:tc>
        <w:tc>
          <w:tcPr>
            <w:tcW w:type="dxa" w:w="3500"/>
            <w:vAlign w:val="center"/>
          </w:tcPr>
          <w:p>
            <w:pPr>
              <w:spacing w:before="20" w:after="40" w:line="252" w:lineRule="auto"/>
            </w:pPr>
            <w:r>
              <w:rPr>
                <w:rFonts w:ascii="Microsoft YaHei" w:hAnsi="Microsoft YaHei" w:eastAsia="Microsoft YaHei"/>
                <w:color w:val="1F2933"/>
                <w:sz w:val="18"/>
              </w:rPr>
              <w:t>容器内预定揭晓序列全部完成</w:t>
            </w:r>
          </w:p>
        </w:tc>
        <w:tc>
          <w:tcPr>
            <w:tcW w:type="dxa" w:w="3960"/>
            <w:vAlign w:val="center"/>
          </w:tcPr>
          <w:p>
            <w:pPr>
              <w:spacing w:before="20" w:after="40" w:line="252" w:lineRule="auto"/>
            </w:pPr>
            <w:r>
              <w:rPr>
                <w:rFonts w:ascii="Microsoft YaHei" w:hAnsi="Microsoft YaHei" w:eastAsia="Microsoft YaHei"/>
                <w:color w:val="1F2933"/>
                <w:sz w:val="18"/>
              </w:rPr>
              <w:t>首次进入该状态时完成容器计数 +1；同一容器不得重复计数。</w:t>
            </w:r>
          </w:p>
        </w:tc>
      </w:tr>
    </w:tbl>
    <w:p>
      <w:pPr>
        <w:spacing w:after="0"/>
      </w:pPr>
    </w:p>
    <w:p>
      <w:pPr>
        <w:pStyle w:val="Heading2"/>
        <w:keepNext/>
      </w:pPr>
      <w:r>
        <w:t>4.4 同时计时与边界判定</w:t>
      </w:r>
    </w:p>
    <w:p>
      <w:pPr>
        <w:pStyle w:val="ListBullet"/>
      </w:pPr>
      <w:r>
        <w:rPr>
          <w:rFonts w:ascii="Microsoft YaHei" w:hAnsi="Microsoft YaHei" w:eastAsia="Microsoft YaHei"/>
          <w:color w:val="1F2933"/>
        </w:rPr>
        <w:t>总倒计时 MUST 从进入局内时开始，初值 180 秒。</w:t>
      </w:r>
    </w:p>
    <w:p>
      <w:pPr>
        <w:pStyle w:val="ListBullet"/>
      </w:pPr>
      <w:r>
        <w:rPr>
          <w:rFonts w:ascii="Microsoft YaHei" w:hAnsi="Microsoft YaHei" w:eastAsia="Microsoft YaHei"/>
          <w:color w:val="1F2933"/>
        </w:rPr>
        <w:t>进入 EXTRACTING 后，总倒计时 MUST 继续减少；撤离读条不得暂停总时间。</w:t>
      </w:r>
    </w:p>
    <w:p>
      <w:pPr>
        <w:pStyle w:val="ListBullet"/>
      </w:pPr>
      <w:r>
        <w:rPr>
          <w:rFonts w:ascii="Microsoft YaHei" w:hAnsi="Microsoft YaHei" w:eastAsia="Microsoft YaHei"/>
          <w:color w:val="1F2933"/>
        </w:rPr>
        <w:t>若总时间在撤离完成之前归零，MUST 判定失败。</w:t>
      </w:r>
    </w:p>
    <w:p>
      <w:pPr>
        <w:pStyle w:val="ListBullet"/>
      </w:pPr>
      <w:r>
        <w:rPr>
          <w:rFonts w:ascii="Microsoft YaHei" w:hAnsi="Microsoft YaHei" w:eastAsia="Microsoft YaHei"/>
          <w:color w:val="1F2933"/>
        </w:rPr>
        <w:t>若两个计时器在同一更新帧/时间点到达终点，具体优先级属于未确定事项；实现前 MUST 请求产品决策，测试不得假设。</w:t>
      </w:r>
    </w:p>
    <w:p>
      <w:r>
        <w:br w:type="page"/>
      </w:r>
    </w:p>
    <w:p>
      <w:pPr>
        <w:pStyle w:val="Heading1"/>
        <w:keepNext/>
      </w:pPr>
      <w:r>
        <w:t>5. 核心功能规范</w:t>
      </w:r>
    </w:p>
    <w:p>
      <w:pPr>
        <w:pStyle w:val="Heading2"/>
        <w:keepNext/>
      </w:pPr>
      <w:r>
        <w:t>5.1 容器搜索与揭晓</w:t>
      </w:r>
    </w:p>
    <w:p>
      <w:pPr>
        <w:pStyle w:val="ListBullet"/>
      </w:pPr>
      <w:r>
        <w:t>首次打开容器时，系统 MUST 先显示容器内未知物品总数以及每件物品当前方向实际占用的完整二维格子区域。</w:t>
      </w:r>
    </w:p>
    <w:p>
      <w:pPr>
        <w:pStyle w:val="ListBullet"/>
      </w:pPr>
      <w:r>
        <w:t>遮罩阶段 MUST 使用统一未知色与清晰外轮廓；同尺寸未知物品视觉一致。MUST NOT 使用物品剪影/造型蒙版，也不得显示或暗示名称、品质、价值、类别、身份。</w:t>
      </w:r>
    </w:p>
    <w:p>
      <w:pPr>
        <w:pStyle w:val="ListBullet"/>
      </w:pPr>
      <w:r>
        <w:rPr>
          <w:rFonts w:ascii="Microsoft YaHei" w:hAnsi="Microsoft YaHei" w:eastAsia="Microsoft YaHei"/>
          <w:color w:val="1F2933"/>
        </w:rPr>
        <w:t>揭晓 MUST 按物品逐件进行；不得一次性揭晓整个容器。</w:t>
      </w:r>
    </w:p>
    <w:p>
      <w:pPr>
        <w:pStyle w:val="ListBullet"/>
      </w:pPr>
      <w:r>
        <w:rPr>
          <w:rFonts w:ascii="Microsoft YaHei" w:hAnsi="Microsoft YaHei" w:eastAsia="Microsoft YaHei"/>
          <w:color w:val="1F2933"/>
        </w:rPr>
        <w:t>每件物品的揭晓时长 MUST 从配置读取，并按本节暂定表执行。</w:t>
      </w:r>
    </w:p>
    <w:p>
      <w:pPr>
        <w:pStyle w:val="ListBullet"/>
      </w:pPr>
      <w:r>
        <w:rPr>
          <w:rFonts w:ascii="Microsoft YaHei" w:hAnsi="Microsoft YaHei" w:eastAsia="Microsoft YaHei"/>
          <w:color w:val="1F2933"/>
        </w:rPr>
        <w:t>揭晓完成后 MUST 显示该物品的名称、品质、价值和尺寸等必要功能信息。</w:t>
      </w:r>
    </w:p>
    <w:p>
      <w:pPr>
        <w:pStyle w:val="ListBullet"/>
      </w:pPr>
      <w:r>
        <w:rPr>
          <w:rFonts w:ascii="Microsoft YaHei" w:hAnsi="Microsoft YaHei" w:eastAsia="Microsoft YaHei"/>
          <w:color w:val="1F2933"/>
        </w:rPr>
        <w:t>容器完成状态 MUST 是幂等的；重复打开、关闭界面或重复触发不得重复增加完成计数。</w:t>
      </w:r>
    </w:p>
    <w:p>
      <w:pPr>
        <w:pStyle w:val="ListBullet"/>
      </w:pPr>
      <w:r>
        <w:rPr>
          <w:rFonts w:ascii="Microsoft YaHei" w:hAnsi="Microsoft YaHei" w:eastAsia="Microsoft YaHei"/>
          <w:color w:val="1F2933"/>
        </w:rPr>
        <w:t>搜索能否中断、离开后如何处理、回来是否续搜，以及容器内揭晓顺序均为 TBD。Codex MUST NOT 以此前对话中的助手建议作为产品结论。</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2400"/>
        <w:gridCol w:w="5160"/>
      </w:tblGrid>
      <w:tr>
        <w:trPr>
          <w:tblHeader w:val="true"/>
          <w:cantSplit/>
        </w:trPr>
        <w:tc>
          <w:tcPr>
            <w:tcW w:type="dxa" w:w="18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品质</w:t>
            </w:r>
          </w:p>
        </w:tc>
        <w:tc>
          <w:tcPr>
            <w:tcW w:type="dxa" w:w="24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暂定揭晓时间</w:t>
            </w:r>
          </w:p>
        </w:tc>
        <w:tc>
          <w:tcPr>
            <w:tcW w:type="dxa" w:w="51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V0.1 表现</w:t>
            </w:r>
          </w:p>
        </w:tc>
      </w:tr>
      <w:tr>
        <w:trPr>
          <w:cantSplit/>
        </w:trPr>
        <w:tc>
          <w:tcPr>
            <w:tcW w:type="dxa" w:w="1800"/>
            <w:vAlign w:val="center"/>
          </w:tcPr>
          <w:p>
            <w:pPr>
              <w:spacing w:before="20" w:after="40" w:line="252" w:lineRule="auto"/>
            </w:pPr>
            <w:r>
              <w:rPr>
                <w:rFonts w:ascii="Microsoft YaHei" w:hAnsi="Microsoft YaHei" w:eastAsia="Microsoft YaHei"/>
                <w:color w:val="1F2933"/>
                <w:sz w:val="18"/>
              </w:rPr>
              <w:t>白</w:t>
            </w:r>
          </w:p>
        </w:tc>
        <w:tc>
          <w:tcPr>
            <w:tcW w:type="dxa" w:w="2400"/>
            <w:vAlign w:val="center"/>
          </w:tcPr>
          <w:p>
            <w:pPr>
              <w:spacing w:before="20" w:after="40" w:line="252" w:lineRule="auto"/>
            </w:pPr>
            <w:r>
              <w:rPr>
                <w:rFonts w:ascii="Microsoft YaHei" w:hAnsi="Microsoft YaHei" w:eastAsia="Microsoft YaHei"/>
                <w:color w:val="1F2933"/>
                <w:sz w:val="18"/>
              </w:rPr>
              <w:t>0.5 秒</w:t>
            </w:r>
          </w:p>
        </w:tc>
        <w:tc>
          <w:tcPr>
            <w:tcW w:type="dxa" w:w="5160"/>
            <w:vAlign w:val="center"/>
          </w:tcPr>
          <w:p>
            <w:pPr>
              <w:spacing w:before="20" w:after="40" w:line="252" w:lineRule="auto"/>
            </w:pPr>
            <w:r>
              <w:rPr>
                <w:rFonts w:ascii="Microsoft YaHei" w:hAnsi="Microsoft YaHei" w:eastAsia="Microsoft YaHei"/>
                <w:color w:val="1F2933"/>
                <w:sz w:val="18"/>
              </w:rPr>
              <w:t>纯白/浅白语义色块；准确颜色值 TBD</w:t>
            </w:r>
          </w:p>
        </w:tc>
      </w:tr>
      <w:tr>
        <w:trPr>
          <w:cantSplit/>
        </w:trPr>
        <w:tc>
          <w:tcPr>
            <w:tcW w:type="dxa" w:w="1800"/>
            <w:vAlign w:val="center"/>
          </w:tcPr>
          <w:p>
            <w:pPr>
              <w:spacing w:before="20" w:after="40" w:line="252" w:lineRule="auto"/>
            </w:pPr>
            <w:r>
              <w:rPr>
                <w:rFonts w:ascii="Microsoft YaHei" w:hAnsi="Microsoft YaHei" w:eastAsia="Microsoft YaHei"/>
                <w:color w:val="1F2933"/>
                <w:sz w:val="18"/>
              </w:rPr>
              <w:t>蓝</w:t>
            </w:r>
          </w:p>
        </w:tc>
        <w:tc>
          <w:tcPr>
            <w:tcW w:type="dxa" w:w="2400"/>
            <w:vAlign w:val="center"/>
          </w:tcPr>
          <w:p>
            <w:pPr>
              <w:spacing w:before="20" w:after="40" w:line="252" w:lineRule="auto"/>
            </w:pPr>
            <w:r>
              <w:rPr>
                <w:rFonts w:ascii="Microsoft YaHei" w:hAnsi="Microsoft YaHei" w:eastAsia="Microsoft YaHei"/>
                <w:color w:val="1F2933"/>
                <w:sz w:val="18"/>
              </w:rPr>
              <w:t>1 秒</w:t>
            </w:r>
          </w:p>
        </w:tc>
        <w:tc>
          <w:tcPr>
            <w:tcW w:type="dxa" w:w="5160"/>
            <w:vAlign w:val="center"/>
          </w:tcPr>
          <w:p>
            <w:pPr>
              <w:spacing w:before="20" w:after="40" w:line="252" w:lineRule="auto"/>
            </w:pPr>
            <w:r>
              <w:rPr>
                <w:rFonts w:ascii="Microsoft YaHei" w:hAnsi="Microsoft YaHei" w:eastAsia="Microsoft YaHei"/>
                <w:color w:val="1F2933"/>
                <w:sz w:val="18"/>
              </w:rPr>
              <w:t>蓝色语义色块；准确颜色值 TBD</w:t>
            </w:r>
          </w:p>
        </w:tc>
      </w:tr>
      <w:tr>
        <w:trPr>
          <w:cantSplit/>
        </w:trPr>
        <w:tc>
          <w:tcPr>
            <w:tcW w:type="dxa" w:w="1800"/>
            <w:vAlign w:val="center"/>
          </w:tcPr>
          <w:p>
            <w:pPr>
              <w:spacing w:before="20" w:after="40" w:line="252" w:lineRule="auto"/>
            </w:pPr>
            <w:r>
              <w:rPr>
                <w:rFonts w:ascii="Microsoft YaHei" w:hAnsi="Microsoft YaHei" w:eastAsia="Microsoft YaHei"/>
                <w:color w:val="1F2933"/>
                <w:sz w:val="18"/>
              </w:rPr>
              <w:t>紫</w:t>
            </w:r>
          </w:p>
        </w:tc>
        <w:tc>
          <w:tcPr>
            <w:tcW w:type="dxa" w:w="2400"/>
            <w:vAlign w:val="center"/>
          </w:tcPr>
          <w:p>
            <w:pPr>
              <w:spacing w:before="20" w:after="40" w:line="252" w:lineRule="auto"/>
            </w:pPr>
            <w:r>
              <w:rPr>
                <w:rFonts w:ascii="Microsoft YaHei" w:hAnsi="Microsoft YaHei" w:eastAsia="Microsoft YaHei"/>
                <w:color w:val="1F2933"/>
                <w:sz w:val="18"/>
              </w:rPr>
              <w:t>2 秒</w:t>
            </w:r>
          </w:p>
        </w:tc>
        <w:tc>
          <w:tcPr>
            <w:tcW w:type="dxa" w:w="5160"/>
            <w:vAlign w:val="center"/>
          </w:tcPr>
          <w:p>
            <w:pPr>
              <w:spacing w:before="20" w:after="40" w:line="252" w:lineRule="auto"/>
            </w:pPr>
            <w:r>
              <w:rPr>
                <w:rFonts w:ascii="Microsoft YaHei" w:hAnsi="Microsoft YaHei" w:eastAsia="Microsoft YaHei"/>
                <w:color w:val="1F2933"/>
                <w:sz w:val="18"/>
              </w:rPr>
              <w:t>紫色语义色块；准确颜色值 TBD</w:t>
            </w:r>
          </w:p>
        </w:tc>
      </w:tr>
      <w:tr>
        <w:trPr>
          <w:cantSplit/>
        </w:trPr>
        <w:tc>
          <w:tcPr>
            <w:tcW w:type="dxa" w:w="1800"/>
            <w:vAlign w:val="center"/>
          </w:tcPr>
          <w:p>
            <w:pPr>
              <w:spacing w:before="20" w:after="40" w:line="252" w:lineRule="auto"/>
            </w:pPr>
            <w:r>
              <w:rPr>
                <w:rFonts w:ascii="Microsoft YaHei" w:hAnsi="Microsoft YaHei" w:eastAsia="Microsoft YaHei"/>
                <w:color w:val="1F2933"/>
                <w:sz w:val="18"/>
              </w:rPr>
              <w:t>金</w:t>
            </w:r>
          </w:p>
        </w:tc>
        <w:tc>
          <w:tcPr>
            <w:tcW w:type="dxa" w:w="2400"/>
            <w:vAlign w:val="center"/>
          </w:tcPr>
          <w:p>
            <w:pPr>
              <w:spacing w:before="20" w:after="40" w:line="252" w:lineRule="auto"/>
            </w:pPr>
            <w:r>
              <w:rPr>
                <w:rFonts w:ascii="Microsoft YaHei" w:hAnsi="Microsoft YaHei" w:eastAsia="Microsoft YaHei"/>
                <w:color w:val="1F2933"/>
                <w:sz w:val="18"/>
              </w:rPr>
              <w:t>3 秒</w:t>
            </w:r>
          </w:p>
        </w:tc>
        <w:tc>
          <w:tcPr>
            <w:tcW w:type="dxa" w:w="5160"/>
            <w:vAlign w:val="center"/>
          </w:tcPr>
          <w:p>
            <w:pPr>
              <w:spacing w:before="20" w:after="40" w:line="252" w:lineRule="auto"/>
            </w:pPr>
            <w:r>
              <w:rPr>
                <w:rFonts w:ascii="Microsoft YaHei" w:hAnsi="Microsoft YaHei" w:eastAsia="Microsoft YaHei"/>
                <w:color w:val="1F2933"/>
                <w:sz w:val="18"/>
              </w:rPr>
              <w:t>金色语义色块；准确颜色值 TBD</w:t>
            </w:r>
          </w:p>
        </w:tc>
      </w:tr>
      <w:tr>
        <w:trPr>
          <w:cantSplit/>
        </w:trPr>
        <w:tc>
          <w:tcPr>
            <w:tcW w:type="dxa" w:w="1800"/>
            <w:vAlign w:val="center"/>
          </w:tcPr>
          <w:p>
            <w:pPr>
              <w:spacing w:before="20" w:after="40" w:line="252" w:lineRule="auto"/>
            </w:pPr>
            <w:r>
              <w:rPr>
                <w:rFonts w:ascii="Microsoft YaHei" w:hAnsi="Microsoft YaHei" w:eastAsia="Microsoft YaHei"/>
                <w:color w:val="1F2933"/>
                <w:sz w:val="18"/>
              </w:rPr>
              <w:t>红</w:t>
            </w:r>
          </w:p>
        </w:tc>
        <w:tc>
          <w:tcPr>
            <w:tcW w:type="dxa" w:w="2400"/>
            <w:vAlign w:val="center"/>
          </w:tcPr>
          <w:p>
            <w:pPr>
              <w:spacing w:before="20" w:after="40" w:line="252" w:lineRule="auto"/>
            </w:pPr>
            <w:r>
              <w:rPr>
                <w:rFonts w:ascii="Microsoft YaHei" w:hAnsi="Microsoft YaHei" w:eastAsia="Microsoft YaHei"/>
                <w:color w:val="1F2933"/>
                <w:sz w:val="18"/>
              </w:rPr>
              <w:t>5 秒</w:t>
            </w:r>
          </w:p>
        </w:tc>
        <w:tc>
          <w:tcPr>
            <w:tcW w:type="dxa" w:w="5160"/>
            <w:vAlign w:val="center"/>
          </w:tcPr>
          <w:p>
            <w:pPr>
              <w:spacing w:before="20" w:after="40" w:line="252" w:lineRule="auto"/>
            </w:pPr>
            <w:r>
              <w:rPr>
                <w:rFonts w:ascii="Microsoft YaHei" w:hAnsi="Microsoft YaHei" w:eastAsia="Microsoft YaHei"/>
                <w:color w:val="1F2933"/>
                <w:sz w:val="18"/>
              </w:rPr>
              <w:t>红色语义色块；准确颜色值 TBD</w:t>
            </w:r>
          </w:p>
        </w:tc>
      </w:tr>
    </w:tbl>
    <w:p>
      <w:pPr>
        <w:spacing w:after="0"/>
      </w:pPr>
    </w:p>
    <w:p>
      <w:pPr>
        <w:pStyle w:val="Heading2"/>
        <w:keepNext/>
      </w:pPr>
      <w:r>
        <w:t>5.2 物品品质与价值</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2600"/>
        <w:gridCol w:w="5260"/>
      </w:tblGrid>
      <w:tr>
        <w:trPr>
          <w:tblHeader w:val="true"/>
          <w:cantSplit/>
        </w:trPr>
        <w:tc>
          <w:tcPr>
            <w:tcW w:type="dxa" w:w="15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品质</w:t>
            </w:r>
          </w:p>
        </w:tc>
        <w:tc>
          <w:tcPr>
            <w:tcW w:type="dxa" w:w="26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用户确认的价值区间</w:t>
            </w:r>
          </w:p>
        </w:tc>
        <w:tc>
          <w:tcPr>
            <w:tcW w:type="dxa" w:w="52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严格解释</w:t>
            </w:r>
          </w:p>
        </w:tc>
      </w:tr>
      <w:tr>
        <w:trPr>
          <w:cantSplit/>
        </w:trPr>
        <w:tc>
          <w:tcPr>
            <w:tcW w:type="dxa" w:w="1500"/>
            <w:vAlign w:val="center"/>
          </w:tcPr>
          <w:p>
            <w:pPr>
              <w:spacing w:before="20" w:after="40" w:line="252" w:lineRule="auto"/>
            </w:pPr>
            <w:r>
              <w:rPr>
                <w:rFonts w:ascii="Microsoft YaHei" w:hAnsi="Microsoft YaHei" w:eastAsia="Microsoft YaHei"/>
                <w:color w:val="1F2933"/>
                <w:sz w:val="18"/>
              </w:rPr>
              <w:t>白</w:t>
            </w:r>
          </w:p>
        </w:tc>
        <w:tc>
          <w:tcPr>
            <w:tcW w:type="dxa" w:w="2600"/>
            <w:vAlign w:val="center"/>
          </w:tcPr>
          <w:p>
            <w:pPr>
              <w:spacing w:before="20" w:after="40" w:line="252" w:lineRule="auto"/>
            </w:pPr>
            <w:r>
              <w:rPr>
                <w:rFonts w:ascii="Microsoft YaHei" w:hAnsi="Microsoft YaHei" w:eastAsia="Microsoft YaHei"/>
                <w:color w:val="1F2933"/>
                <w:sz w:val="18"/>
              </w:rPr>
              <w:t>几十～几百</w:t>
            </w:r>
          </w:p>
        </w:tc>
        <w:tc>
          <w:tcPr>
            <w:tcW w:type="dxa" w:w="5260"/>
            <w:vAlign w:val="center"/>
          </w:tcPr>
          <w:p>
            <w:pPr>
              <w:spacing w:before="20" w:after="40" w:line="252" w:lineRule="auto"/>
            </w:pPr>
            <w:r>
              <w:rPr>
                <w:rFonts w:ascii="Microsoft YaHei" w:hAnsi="Microsoft YaHei" w:eastAsia="Microsoft YaHei"/>
                <w:color w:val="1F2933"/>
                <w:sz w:val="18"/>
              </w:rPr>
              <w:t>仅确认量级；精确最小值、最大值、取整和分布 TBD。</w:t>
            </w:r>
          </w:p>
        </w:tc>
      </w:tr>
      <w:tr>
        <w:trPr>
          <w:cantSplit/>
        </w:trPr>
        <w:tc>
          <w:tcPr>
            <w:tcW w:type="dxa" w:w="1500"/>
            <w:vAlign w:val="center"/>
          </w:tcPr>
          <w:p>
            <w:pPr>
              <w:spacing w:before="20" w:after="40" w:line="252" w:lineRule="auto"/>
            </w:pPr>
            <w:r>
              <w:rPr>
                <w:rFonts w:ascii="Microsoft YaHei" w:hAnsi="Microsoft YaHei" w:eastAsia="Microsoft YaHei"/>
                <w:color w:val="1F2933"/>
                <w:sz w:val="18"/>
              </w:rPr>
              <w:t>蓝</w:t>
            </w:r>
          </w:p>
        </w:tc>
        <w:tc>
          <w:tcPr>
            <w:tcW w:type="dxa" w:w="2600"/>
            <w:vAlign w:val="center"/>
          </w:tcPr>
          <w:p>
            <w:pPr>
              <w:spacing w:before="20" w:after="40" w:line="252" w:lineRule="auto"/>
            </w:pPr>
            <w:r>
              <w:rPr>
                <w:rFonts w:ascii="Microsoft YaHei" w:hAnsi="Microsoft YaHei" w:eastAsia="Microsoft YaHei"/>
                <w:color w:val="1F2933"/>
                <w:sz w:val="18"/>
              </w:rPr>
              <w:t>几千～20,000</w:t>
            </w:r>
          </w:p>
        </w:tc>
        <w:tc>
          <w:tcPr>
            <w:tcW w:type="dxa" w:w="5260"/>
            <w:vAlign w:val="center"/>
          </w:tcPr>
          <w:p>
            <w:pPr>
              <w:spacing w:before="20" w:after="40" w:line="252" w:lineRule="auto"/>
            </w:pPr>
            <w:r>
              <w:rPr>
                <w:rFonts w:ascii="Microsoft YaHei" w:hAnsi="Microsoft YaHei" w:eastAsia="Microsoft YaHei"/>
                <w:color w:val="1F2933"/>
                <w:sz w:val="18"/>
              </w:rPr>
              <w:t>精确下限与分布 TBD；上限暂按 20,000。</w:t>
            </w:r>
          </w:p>
        </w:tc>
      </w:tr>
      <w:tr>
        <w:trPr>
          <w:cantSplit/>
        </w:trPr>
        <w:tc>
          <w:tcPr>
            <w:tcW w:type="dxa" w:w="1500"/>
            <w:vAlign w:val="center"/>
          </w:tcPr>
          <w:p>
            <w:pPr>
              <w:spacing w:before="20" w:after="40" w:line="252" w:lineRule="auto"/>
            </w:pPr>
            <w:r>
              <w:rPr>
                <w:rFonts w:ascii="Microsoft YaHei" w:hAnsi="Microsoft YaHei" w:eastAsia="Microsoft YaHei"/>
                <w:color w:val="1F2933"/>
                <w:sz w:val="18"/>
              </w:rPr>
              <w:t>紫</w:t>
            </w:r>
          </w:p>
        </w:tc>
        <w:tc>
          <w:tcPr>
            <w:tcW w:type="dxa" w:w="2600"/>
            <w:vAlign w:val="center"/>
          </w:tcPr>
          <w:p>
            <w:pPr>
              <w:spacing w:before="20" w:after="40" w:line="252" w:lineRule="auto"/>
            </w:pPr>
            <w:r>
              <w:rPr>
                <w:rFonts w:ascii="Microsoft YaHei" w:hAnsi="Microsoft YaHei" w:eastAsia="Microsoft YaHei"/>
                <w:color w:val="1F2933"/>
                <w:sz w:val="18"/>
              </w:rPr>
              <w:t>10,000～50,000</w:t>
            </w:r>
          </w:p>
        </w:tc>
        <w:tc>
          <w:tcPr>
            <w:tcW w:type="dxa" w:w="5260"/>
            <w:vAlign w:val="center"/>
          </w:tcPr>
          <w:p>
            <w:pPr>
              <w:spacing w:before="20" w:after="40" w:line="252" w:lineRule="auto"/>
            </w:pPr>
            <w:r>
              <w:rPr>
                <w:rFonts w:ascii="Microsoft YaHei" w:hAnsi="Microsoft YaHei" w:eastAsia="Microsoft YaHei"/>
                <w:color w:val="1F2933"/>
                <w:sz w:val="18"/>
              </w:rPr>
              <w:t>蓝/紫区间可发生重叠；具体物品值由配置提供。</w:t>
            </w:r>
          </w:p>
        </w:tc>
      </w:tr>
      <w:tr>
        <w:trPr>
          <w:cantSplit/>
        </w:trPr>
        <w:tc>
          <w:tcPr>
            <w:tcW w:type="dxa" w:w="1500"/>
            <w:vAlign w:val="center"/>
          </w:tcPr>
          <w:p>
            <w:pPr>
              <w:spacing w:before="20" w:after="40" w:line="252" w:lineRule="auto"/>
            </w:pPr>
            <w:r>
              <w:rPr>
                <w:rFonts w:ascii="Microsoft YaHei" w:hAnsi="Microsoft YaHei" w:eastAsia="Microsoft YaHei"/>
                <w:color w:val="1F2933"/>
                <w:sz w:val="18"/>
              </w:rPr>
              <w:t>金</w:t>
            </w:r>
          </w:p>
        </w:tc>
        <w:tc>
          <w:tcPr>
            <w:tcW w:type="dxa" w:w="2600"/>
            <w:vAlign w:val="center"/>
          </w:tcPr>
          <w:p>
            <w:pPr>
              <w:spacing w:before="20" w:after="40" w:line="252" w:lineRule="auto"/>
            </w:pPr>
            <w:r>
              <w:rPr>
                <w:rFonts w:ascii="Microsoft YaHei" w:hAnsi="Microsoft YaHei" w:eastAsia="Microsoft YaHei"/>
                <w:color w:val="1F2933"/>
                <w:sz w:val="18"/>
              </w:rPr>
              <w:t>80,000～200,000</w:t>
            </w:r>
          </w:p>
        </w:tc>
        <w:tc>
          <w:tcPr>
            <w:tcW w:type="dxa" w:w="5260"/>
            <w:vAlign w:val="center"/>
          </w:tcPr>
          <w:p>
            <w:pPr>
              <w:spacing w:before="20" w:after="40" w:line="252" w:lineRule="auto"/>
            </w:pPr>
            <w:r>
              <w:rPr>
                <w:rFonts w:ascii="Microsoft YaHei" w:hAnsi="Microsoft YaHei" w:eastAsia="Microsoft YaHei"/>
                <w:color w:val="1F2933"/>
                <w:sz w:val="18"/>
              </w:rPr>
              <w:t>具体物品值由配置提供。</w:t>
            </w:r>
          </w:p>
        </w:tc>
      </w:tr>
      <w:tr>
        <w:trPr>
          <w:cantSplit/>
        </w:trPr>
        <w:tc>
          <w:tcPr>
            <w:tcW w:type="dxa" w:w="1500"/>
            <w:vAlign w:val="center"/>
          </w:tcPr>
          <w:p>
            <w:pPr>
              <w:spacing w:before="20" w:after="40" w:line="252" w:lineRule="auto"/>
            </w:pPr>
            <w:r>
              <w:rPr>
                <w:rFonts w:ascii="Microsoft YaHei" w:hAnsi="Microsoft YaHei" w:eastAsia="Microsoft YaHei"/>
                <w:color w:val="1F2933"/>
                <w:sz w:val="18"/>
              </w:rPr>
              <w:t>红</w:t>
            </w:r>
          </w:p>
        </w:tc>
        <w:tc>
          <w:tcPr>
            <w:tcW w:type="dxa" w:w="2600"/>
            <w:vAlign w:val="center"/>
          </w:tcPr>
          <w:p>
            <w:pPr>
              <w:spacing w:before="20" w:after="40" w:line="252" w:lineRule="auto"/>
            </w:pPr>
            <w:r>
              <w:rPr>
                <w:rFonts w:ascii="Microsoft YaHei" w:hAnsi="Microsoft YaHei" w:eastAsia="Microsoft YaHei"/>
                <w:color w:val="1F2933"/>
                <w:sz w:val="18"/>
              </w:rPr>
              <w:t>400,000+</w:t>
            </w:r>
          </w:p>
        </w:tc>
        <w:tc>
          <w:tcPr>
            <w:tcW w:type="dxa" w:w="5260"/>
            <w:vAlign w:val="center"/>
          </w:tcPr>
          <w:p>
            <w:pPr>
              <w:spacing w:before="20" w:after="40" w:line="252" w:lineRule="auto"/>
            </w:pPr>
            <w:r>
              <w:rPr>
                <w:rFonts w:ascii="Microsoft YaHei" w:hAnsi="Microsoft YaHei" w:eastAsia="Microsoft YaHei"/>
                <w:color w:val="1F2933"/>
                <w:sz w:val="18"/>
              </w:rPr>
              <w:t>仅确认下限量级；上限 TBD。</w:t>
            </w:r>
          </w:p>
        </w:tc>
      </w:tr>
    </w:tbl>
    <w:p>
      <w:pPr>
        <w:spacing w:after="0"/>
      </w:pPr>
    </w:p>
    <w:p>
      <w:pPr>
        <w:pStyle w:val="ListBullet"/>
      </w:pPr>
      <w:r>
        <w:rPr>
          <w:rFonts w:ascii="Microsoft YaHei" w:hAnsi="Microsoft YaHei" w:eastAsia="Microsoft YaHei"/>
          <w:color w:val="1F2933"/>
        </w:rPr>
        <w:t>V0.1 MUST 支持白、蓝、紫、金、红五种品质枚举。</w:t>
      </w:r>
    </w:p>
    <w:p>
      <w:pPr>
        <w:pStyle w:val="ListBullet"/>
      </w:pPr>
      <w:r>
        <w:rPr>
          <w:rFonts w:ascii="Microsoft YaHei" w:hAnsi="Microsoft YaHei" w:eastAsia="Microsoft YaHei"/>
          <w:color w:val="1F2933"/>
        </w:rPr>
        <w:t>价值 MUST 是数据字段，并用于场外出售结算；不得从界面颜色或名称反向推导。</w:t>
      </w:r>
    </w:p>
    <w:p>
      <w:pPr>
        <w:pStyle w:val="ListBullet"/>
      </w:pPr>
      <w:r>
        <w:rPr>
          <w:rFonts w:ascii="Microsoft YaHei" w:hAnsi="Microsoft YaHei" w:eastAsia="Microsoft YaHei"/>
          <w:color w:val="1F2933"/>
        </w:rPr>
        <w:t>品质与价值 MUST 是独立字段；实现不得强制“高品质一定比低品质更贵”。</w:t>
      </w:r>
    </w:p>
    <w:p>
      <w:pPr>
        <w:pStyle w:val="ListBullet"/>
      </w:pPr>
      <w:r>
        <w:t>具体物品清单、完整尺寸集合、每件物品具体价值、同品质物品内容权重与随机种子策略仍为 TBD。C1～C5 品质概率、每件物品独立抽取品质以及 V0.1 每容器1～3件已按第5.6节暂定，不得再作为未决事项自行改写。</w:t>
      </w:r>
    </w:p>
    <w:p>
      <w:pPr>
        <w:pStyle w:val="Heading2"/>
        <w:keepNext/>
      </w:pPr>
      <w:r>
        <w:t>5.3 格子背包与安全箱</w:t>
      </w:r>
    </w:p>
    <w:p>
      <w:pPr>
        <w:pStyle w:val="ListBullet"/>
      </w:pPr>
      <w:r>
        <w:rPr>
          <w:rFonts w:ascii="Microsoft YaHei" w:hAnsi="Microsoft YaHei" w:eastAsia="Microsoft YaHei"/>
          <w:color w:val="1F2933"/>
        </w:rPr>
        <w:t>背包与安全箱 MUST 是相互独立的二维格子空间。</w:t>
      </w:r>
    </w:p>
    <w:p>
      <w:pPr>
        <w:pStyle w:val="ListBullet"/>
      </w:pPr>
      <w:r>
        <w:rPr>
          <w:rFonts w:ascii="Microsoft YaHei" w:hAnsi="Microsoft YaHei" w:eastAsia="Microsoft YaHei"/>
          <w:color w:val="1F2933"/>
        </w:rPr>
        <w:t>物品 MUST 具有正整数宽度、高度、方向和所在容器/格子坐标。具体支持的尺寸集合为 TBD。</w:t>
      </w:r>
    </w:p>
    <w:p>
      <w:pPr>
        <w:pStyle w:val="ListBullet"/>
      </w:pPr>
      <w:r>
        <w:rPr>
          <w:rFonts w:ascii="Microsoft YaHei" w:hAnsi="Microsoft YaHei" w:eastAsia="Microsoft YaHei"/>
          <w:color w:val="1F2933"/>
        </w:rPr>
        <w:t>系统 MUST 支持拾取、拖拽、替换、丢弃、旋转。</w:t>
      </w:r>
    </w:p>
    <w:p>
      <w:pPr>
        <w:pStyle w:val="ListBullet"/>
      </w:pPr>
      <w:r>
        <w:rPr>
          <w:rFonts w:ascii="Microsoft YaHei" w:hAnsi="Microsoft YaHei" w:eastAsia="Microsoft YaHei"/>
          <w:color w:val="1F2933"/>
        </w:rPr>
        <w:t>旋转 MUST 改变物品占格方向，并在提交前重新校验边界与重叠；非法旋转 MUST 被拒绝且保持原状态。</w:t>
      </w:r>
    </w:p>
    <w:p>
      <w:pPr>
        <w:pStyle w:val="ListBullet"/>
      </w:pPr>
      <w:r>
        <w:rPr>
          <w:rFonts w:ascii="Microsoft YaHei" w:hAnsi="Microsoft YaHei" w:eastAsia="Microsoft YaHei"/>
          <w:color w:val="1F2933"/>
        </w:rPr>
        <w:t>拖拽/替换 MUST 以原子方式完成：成功则完整提交，失败则完整回滚；不得出现中间态导致复制或丢失。</w:t>
      </w:r>
    </w:p>
    <w:p>
      <w:pPr>
        <w:pStyle w:val="ListBullet"/>
      </w:pPr>
      <w:r>
        <w:rPr>
          <w:rFonts w:ascii="Microsoft YaHei" w:hAnsi="Microsoft YaHei" w:eastAsia="Microsoft YaHei"/>
          <w:color w:val="1F2933"/>
        </w:rPr>
        <w:t>任一格同一时刻 MUST NOT 被两个物品占用；物品 MUST NOT 越界。</w:t>
      </w:r>
    </w:p>
    <w:p>
      <w:pPr>
        <w:pStyle w:val="ListBullet"/>
      </w:pPr>
      <w:r>
        <w:rPr>
          <w:rFonts w:ascii="Microsoft YaHei" w:hAnsi="Microsoft YaHei" w:eastAsia="Microsoft YaHei"/>
          <w:color w:val="1F2933"/>
        </w:rPr>
        <w:t>容器、背包、安全箱之间的移动 MUST 保持同一 ItemInstance 身份，不得克隆。</w:t>
      </w:r>
    </w:p>
    <w:p>
      <w:pPr>
        <w:pStyle w:val="ListBullet"/>
      </w:pPr>
      <w:r>
        <w:rPr>
          <w:rFonts w:ascii="Microsoft YaHei" w:hAnsi="Microsoft YaHei" w:eastAsia="Microsoft YaHei"/>
          <w:color w:val="1F2933"/>
        </w:rPr>
        <w:t>丢弃 MUST 明确移除局内物品；是否允许再次拾取、丢弃后落点与恢复规则为 TBD。</w:t>
      </w:r>
    </w:p>
    <w:p>
      <w:pPr>
        <w:pStyle w:val="ListBullet"/>
      </w:pPr>
      <w:r>
        <w:t>V0.1 测试经济暂定：初始货币 100000；小型背包4×4=1000，中型背包5×5=2500，大型背包6×6=5000。以上仅用于验证购买、扣款、容量与重复开局，不是正式经济。</w:t>
      </w:r>
    </w:p>
    <w:p>
      <w:pPr>
        <w:pStyle w:val="ListBullet"/>
      </w:pPr>
      <w:r>
        <w:t>V0.1 安全箱暂定为2×2，默认拥有且不收费。未来安全箱档位、解锁与正式价格不在 V0.1 范围内。</w:t>
      </w:r>
    </w:p>
    <w:p>
      <w:pPr>
        <w:pStyle w:val="Heading2"/>
        <w:keepNext/>
      </w:pPr>
      <w:r>
        <w:t>5.4 撤离</w:t>
      </w:r>
    </w:p>
    <w:p>
      <w:pPr>
        <w:pStyle w:val="ListBullet"/>
      </w:pPr>
      <w:r>
        <w:rPr>
          <w:rFonts w:ascii="Microsoft YaHei" w:hAnsi="Microsoft YaHei" w:eastAsia="Microsoft YaHei"/>
          <w:color w:val="1F2933"/>
        </w:rPr>
        <w:t>完成容器搜索数小于 5 时，撤离 MUST 保持锁定，触发请求 MUST 被拒绝并可见反馈。</w:t>
      </w:r>
    </w:p>
    <w:p>
      <w:pPr>
        <w:pStyle w:val="ListBullet"/>
      </w:pPr>
      <w:r>
        <w:rPr>
          <w:rFonts w:ascii="Microsoft YaHei" w:hAnsi="Microsoft YaHei" w:eastAsia="Microsoft YaHei"/>
          <w:color w:val="1F2933"/>
        </w:rPr>
        <w:t>完成容器搜索数首次达到 5 时，撤离 MUST 解锁；计数超过 5 不得造成重复解锁副作用。</w:t>
      </w:r>
    </w:p>
    <w:p>
      <w:pPr>
        <w:pStyle w:val="ListBullet"/>
      </w:pPr>
      <w:r>
        <w:rPr>
          <w:rFonts w:ascii="Microsoft YaHei" w:hAnsi="Microsoft YaHei" w:eastAsia="Microsoft YaHei"/>
          <w:color w:val="1F2933"/>
        </w:rPr>
        <w:t>撤离启动后 MUST 开始 15 秒倒计时，总倒计时同时继续。</w:t>
      </w:r>
    </w:p>
    <w:p>
      <w:pPr>
        <w:pStyle w:val="ListBullet"/>
      </w:pPr>
      <w:r>
        <w:rPr>
          <w:rFonts w:ascii="Microsoft YaHei" w:hAnsi="Microsoft YaHei" w:eastAsia="Microsoft YaHei"/>
          <w:color w:val="1F2933"/>
        </w:rPr>
        <w:t>撤离读条完成 MUST 进入成功状态；总计时先归零 MUST 进入失败状态。</w:t>
      </w:r>
    </w:p>
    <w:p>
      <w:pPr>
        <w:pStyle w:val="ListBullet"/>
      </w:pPr>
      <w:r>
        <w:rPr>
          <w:rFonts w:ascii="Microsoft YaHei" w:hAnsi="Microsoft YaHei" w:eastAsia="Microsoft YaHei"/>
          <w:color w:val="1F2933"/>
        </w:rPr>
        <w:t>V0.1 除超时外不应有战斗或敌人造成的失败；其他失败来源如需加入必须走变更控制。</w:t>
      </w:r>
    </w:p>
    <w:p>
      <w:pPr>
        <w:pStyle w:val="Heading2"/>
        <w:keepNext/>
      </w:pPr>
      <w:r>
        <w:t>5.5 结算、仓库与出售</w:t>
      </w:r>
    </w:p>
    <w:p>
      <w:pPr>
        <w:pStyle w:val="ListBullet"/>
      </w:pPr>
      <w:r>
        <w:rPr>
          <w:rFonts w:ascii="Microsoft YaHei" w:hAnsi="Microsoft YaHei" w:eastAsia="Microsoft YaHei"/>
          <w:color w:val="1F2933"/>
        </w:rPr>
        <w:t>成功撤离：背包与安全箱内物品 MUST 全部进入局外结算并带回仓库。</w:t>
      </w:r>
    </w:p>
    <w:p>
      <w:pPr>
        <w:pStyle w:val="ListBullet"/>
      </w:pPr>
      <w:r>
        <w:rPr>
          <w:rFonts w:ascii="Microsoft YaHei" w:hAnsi="Microsoft YaHei" w:eastAsia="Microsoft YaHei"/>
          <w:color w:val="1F2933"/>
        </w:rPr>
        <w:t>失败：背包内物品 MUST 丢失；安全箱内物品 MUST 保留并进入仓库。</w:t>
      </w:r>
    </w:p>
    <w:p>
      <w:pPr>
        <w:pStyle w:val="ListBullet"/>
      </w:pPr>
      <w:r>
        <w:rPr>
          <w:rFonts w:ascii="Microsoft YaHei" w:hAnsi="Microsoft YaHei" w:eastAsia="Microsoft YaHei"/>
          <w:color w:val="1F2933"/>
        </w:rPr>
        <w:t>一次 Run MUST 只结算一次；重复点击、重载结算界面或重复事件不得再次入库或再次扣除/增加货币。</w:t>
      </w:r>
    </w:p>
    <w:p>
      <w:pPr>
        <w:pStyle w:val="ListBullet"/>
      </w:pPr>
      <w:r>
        <w:rPr>
          <w:rFonts w:ascii="Microsoft YaHei" w:hAnsi="Microsoft YaHei" w:eastAsia="Microsoft YaHei"/>
          <w:color w:val="1F2933"/>
        </w:rPr>
        <w:t>仓库 MUST 保存带回物品并支持选择物品出售。</w:t>
      </w:r>
    </w:p>
    <w:p>
      <w:pPr>
        <w:pStyle w:val="ListBullet"/>
      </w:pPr>
      <w:r>
        <w:rPr>
          <w:rFonts w:ascii="Microsoft YaHei" w:hAnsi="Microsoft YaHei" w:eastAsia="Microsoft YaHei"/>
          <w:color w:val="1F2933"/>
        </w:rPr>
        <w:t>出售 MUST 原子化：成功后仓库物品消失且货币增加对应售价；失败则两者均不改变。</w:t>
      </w:r>
    </w:p>
    <w:p>
      <w:pPr>
        <w:pStyle w:val="ListBullet"/>
      </w:pPr>
      <w:r>
        <w:rPr>
          <w:rFonts w:ascii="Microsoft YaHei" w:hAnsi="Microsoft YaHei" w:eastAsia="Microsoft YaHei"/>
          <w:color w:val="1F2933"/>
        </w:rPr>
        <w:t>至少在同一应用运行周期内，结算后进入下一局时仓库与货币 MUST 保持正确。跨重启持久化范围、存储位置与迁移策略为 TBD。</w:t>
      </w:r>
    </w:p>
    <w:p>
      <w:pPr>
        <w:pStyle w:val="ListBullet"/>
      </w:pPr>
      <w:r>
        <w:rPr>
          <w:rFonts w:ascii="Microsoft YaHei" w:hAnsi="Microsoft YaHei" w:eastAsia="Microsoft YaHei"/>
          <w:color w:val="1F2933"/>
        </w:rPr>
        <w:t>仓库容量、批量出售、撤销出售、出售费率的 V0.1 规则均为 TBD；不得擅自添加。</w:t>
      </w:r>
    </w:p>
    <w:p>
      <w:r>
        <w:br w:type="page"/>
      </w:r>
    </w:p>
    <w:p>
      <w:pPr>
        <w:pStyle w:val="Heading2"/>
        <w:keepNext/>
      </w:pPr>
      <w:r>
        <w:t>5.6 C1-C5 容器体系与废弃工厂 V0.1 暂定配置</w:t>
      </w:r>
    </w:p>
    <w:p>
      <w:pPr>
        <w:pStyle w:val="ListBullet"/>
      </w:pPr>
      <w:r>
        <w:t>容器体系暂定为 C1～C5 五级。Tier 决定品质产出权重；ContainerType 配置自身 tier、gridWidth、gridHeight。Tier MUST NOT 被硬编码为固定 GridSize。</w:t>
      </w:r>
    </w:p>
    <w:p>
      <w:pPr>
        <w:pStyle w:val="ListBullet"/>
      </w:pPr>
      <w:r>
        <w:t>C5 当前为保险箱体系，未来 MAY 扩展更多 C5 保险箱类型；不得因为增加 C5 类型而擅自建立 C6。</w:t>
      </w:r>
    </w:p>
    <w:p>
      <w:pPr>
        <w:pStyle w:val="ListBullet"/>
      </w:pPr>
      <w:r>
        <w:t>低级容器仍允许极低概率产出高品质；C5 不产白。每件生成物品 MUST 独立执行一次品质抽取，不得把表中概率解释为“整个容器只抽一次品质”。</w:t>
      </w:r>
    </w:p>
    <w:p>
      <w:pPr>
        <w:pStyle w:val="ListBullet"/>
      </w:pPr>
      <w:r>
        <w:t>V0.1 所有容器暂定生成 1～3 件物品。该数值统一配置，不随 C1～C5 改变。</w:t>
      </w:r>
    </w:p>
    <w:p>
      <w:pPr>
        <w:pStyle w:val="ListBullet"/>
      </w:pPr>
      <w:r>
        <w:t>未来地图等级 MAY 影响准入、容器数量/尺寸、物品数量/品质；V0.1 MUST NOT 实现地图等级系统。下表尺寸与类型仅为废弃工厂 V0.1 暂定配置，不是全游戏永久规则。</w:t>
      </w:r>
    </w:p>
    <w:p>
      <w:pPr>
        <w:pStyle w:val="Heading3"/>
        <w:keepNext/>
      </w:pPr>
      <w:r>
        <w:t>每件物品的暂定品质概率（合计100%）</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1008"/>
            <w:vAlign w:val="center"/>
            <w:shd w:fill="D9E7F3"/>
          </w:tcPr>
          <w:p>
            <w:pPr>
              <w:spacing w:after="0"/>
            </w:pPr>
            <w:r>
              <w:rPr>
                <w:b/>
                <w:sz w:val="17"/>
              </w:rPr>
              <w:t>Tier</w:t>
            </w:r>
          </w:p>
        </w:tc>
        <w:tc>
          <w:tcPr>
            <w:tcW w:type="dxa" w:w="1656"/>
            <w:vAlign w:val="center"/>
            <w:shd w:fill="D9E7F3"/>
          </w:tcPr>
          <w:p>
            <w:pPr>
              <w:spacing w:after="0"/>
            </w:pPr>
            <w:r>
              <w:rPr>
                <w:b/>
                <w:sz w:val="17"/>
              </w:rPr>
              <w:t>白</w:t>
            </w:r>
          </w:p>
        </w:tc>
        <w:tc>
          <w:tcPr>
            <w:tcW w:type="dxa" w:w="1656"/>
            <w:vAlign w:val="center"/>
            <w:shd w:fill="D9E7F3"/>
          </w:tcPr>
          <w:p>
            <w:pPr>
              <w:spacing w:after="0"/>
            </w:pPr>
            <w:r>
              <w:rPr>
                <w:b/>
                <w:sz w:val="17"/>
              </w:rPr>
              <w:t>蓝</w:t>
            </w:r>
          </w:p>
        </w:tc>
        <w:tc>
          <w:tcPr>
            <w:tcW w:type="dxa" w:w="1656"/>
            <w:vAlign w:val="center"/>
            <w:shd w:fill="D9E7F3"/>
          </w:tcPr>
          <w:p>
            <w:pPr>
              <w:spacing w:after="0"/>
            </w:pPr>
            <w:r>
              <w:rPr>
                <w:b/>
                <w:sz w:val="17"/>
              </w:rPr>
              <w:t>紫</w:t>
            </w:r>
          </w:p>
        </w:tc>
        <w:tc>
          <w:tcPr>
            <w:tcW w:type="dxa" w:w="1656"/>
            <w:vAlign w:val="center"/>
            <w:shd w:fill="D9E7F3"/>
          </w:tcPr>
          <w:p>
            <w:pPr>
              <w:spacing w:after="0"/>
            </w:pPr>
            <w:r>
              <w:rPr>
                <w:b/>
                <w:sz w:val="17"/>
              </w:rPr>
              <w:t>金</w:t>
            </w:r>
          </w:p>
        </w:tc>
        <w:tc>
          <w:tcPr>
            <w:tcW w:type="dxa" w:w="1656"/>
            <w:vAlign w:val="center"/>
            <w:shd w:fill="D9E7F3"/>
          </w:tcPr>
          <w:p>
            <w:pPr>
              <w:spacing w:after="0"/>
            </w:pPr>
            <w:r>
              <w:rPr>
                <w:b/>
                <w:sz w:val="17"/>
              </w:rPr>
              <w:t>红</w:t>
            </w:r>
          </w:p>
        </w:tc>
      </w:tr>
      <w:tr>
        <w:tc>
          <w:tcPr>
            <w:tcW w:type="dxa" w:w="1008"/>
            <w:vAlign w:val="center"/>
          </w:tcPr>
          <w:p>
            <w:pPr>
              <w:spacing w:after="0"/>
            </w:pPr>
            <w:r>
              <w:rPr>
                <w:sz w:val="17"/>
              </w:rPr>
              <w:t>C1</w:t>
            </w:r>
          </w:p>
        </w:tc>
        <w:tc>
          <w:tcPr>
            <w:tcW w:type="dxa" w:w="1656"/>
            <w:vAlign w:val="center"/>
          </w:tcPr>
          <w:p>
            <w:pPr>
              <w:spacing w:after="0"/>
            </w:pPr>
            <w:r>
              <w:rPr>
                <w:sz w:val="17"/>
              </w:rPr>
              <w:t>82%</w:t>
            </w:r>
          </w:p>
        </w:tc>
        <w:tc>
          <w:tcPr>
            <w:tcW w:type="dxa" w:w="1656"/>
            <w:vAlign w:val="center"/>
          </w:tcPr>
          <w:p>
            <w:pPr>
              <w:spacing w:after="0"/>
            </w:pPr>
            <w:r>
              <w:rPr>
                <w:sz w:val="17"/>
              </w:rPr>
              <w:t>15%</w:t>
            </w:r>
          </w:p>
        </w:tc>
        <w:tc>
          <w:tcPr>
            <w:tcW w:type="dxa" w:w="1656"/>
            <w:vAlign w:val="center"/>
          </w:tcPr>
          <w:p>
            <w:pPr>
              <w:spacing w:after="0"/>
            </w:pPr>
            <w:r>
              <w:rPr>
                <w:sz w:val="17"/>
              </w:rPr>
              <w:t>2.5%</w:t>
            </w:r>
          </w:p>
        </w:tc>
        <w:tc>
          <w:tcPr>
            <w:tcW w:type="dxa" w:w="1656"/>
            <w:vAlign w:val="center"/>
          </w:tcPr>
          <w:p>
            <w:pPr>
              <w:spacing w:after="0"/>
            </w:pPr>
            <w:r>
              <w:rPr>
                <w:sz w:val="17"/>
              </w:rPr>
              <w:t>0.45%</w:t>
            </w:r>
          </w:p>
        </w:tc>
        <w:tc>
          <w:tcPr>
            <w:tcW w:type="dxa" w:w="1656"/>
            <w:vAlign w:val="center"/>
          </w:tcPr>
          <w:p>
            <w:pPr>
              <w:spacing w:after="0"/>
            </w:pPr>
            <w:r>
              <w:rPr>
                <w:sz w:val="17"/>
              </w:rPr>
              <w:t>0.05%</w:t>
            </w:r>
          </w:p>
        </w:tc>
      </w:tr>
      <w:tr>
        <w:tc>
          <w:tcPr>
            <w:tcW w:type="dxa" w:w="1008"/>
            <w:vAlign w:val="center"/>
          </w:tcPr>
          <w:p>
            <w:pPr>
              <w:spacing w:after="0"/>
            </w:pPr>
            <w:r>
              <w:rPr>
                <w:sz w:val="17"/>
              </w:rPr>
              <w:t>C2</w:t>
            </w:r>
          </w:p>
        </w:tc>
        <w:tc>
          <w:tcPr>
            <w:tcW w:type="dxa" w:w="1656"/>
            <w:vAlign w:val="center"/>
          </w:tcPr>
          <w:p>
            <w:pPr>
              <w:spacing w:after="0"/>
            </w:pPr>
            <w:r>
              <w:rPr>
                <w:sz w:val="17"/>
              </w:rPr>
              <w:t>63%</w:t>
            </w:r>
          </w:p>
        </w:tc>
        <w:tc>
          <w:tcPr>
            <w:tcW w:type="dxa" w:w="1656"/>
            <w:vAlign w:val="center"/>
          </w:tcPr>
          <w:p>
            <w:pPr>
              <w:spacing w:after="0"/>
            </w:pPr>
            <w:r>
              <w:rPr>
                <w:sz w:val="17"/>
              </w:rPr>
              <w:t>28%</w:t>
            </w:r>
          </w:p>
        </w:tc>
        <w:tc>
          <w:tcPr>
            <w:tcW w:type="dxa" w:w="1656"/>
            <w:vAlign w:val="center"/>
          </w:tcPr>
          <w:p>
            <w:pPr>
              <w:spacing w:after="0"/>
            </w:pPr>
            <w:r>
              <w:rPr>
                <w:sz w:val="17"/>
              </w:rPr>
              <w:t>7%</w:t>
            </w:r>
          </w:p>
        </w:tc>
        <w:tc>
          <w:tcPr>
            <w:tcW w:type="dxa" w:w="1656"/>
            <w:vAlign w:val="center"/>
          </w:tcPr>
          <w:p>
            <w:pPr>
              <w:spacing w:after="0"/>
            </w:pPr>
            <w:r>
              <w:rPr>
                <w:sz w:val="17"/>
              </w:rPr>
              <w:t>1.9%</w:t>
            </w:r>
          </w:p>
        </w:tc>
        <w:tc>
          <w:tcPr>
            <w:tcW w:type="dxa" w:w="1656"/>
            <w:vAlign w:val="center"/>
          </w:tcPr>
          <w:p>
            <w:pPr>
              <w:spacing w:after="0"/>
            </w:pPr>
            <w:r>
              <w:rPr>
                <w:sz w:val="17"/>
              </w:rPr>
              <w:t>0.1%</w:t>
            </w:r>
          </w:p>
        </w:tc>
      </w:tr>
      <w:tr>
        <w:tc>
          <w:tcPr>
            <w:tcW w:type="dxa" w:w="1008"/>
            <w:vAlign w:val="center"/>
          </w:tcPr>
          <w:p>
            <w:pPr>
              <w:spacing w:after="0"/>
            </w:pPr>
            <w:r>
              <w:rPr>
                <w:sz w:val="17"/>
              </w:rPr>
              <w:t>C3</w:t>
            </w:r>
          </w:p>
        </w:tc>
        <w:tc>
          <w:tcPr>
            <w:tcW w:type="dxa" w:w="1656"/>
            <w:vAlign w:val="center"/>
          </w:tcPr>
          <w:p>
            <w:pPr>
              <w:spacing w:after="0"/>
            </w:pPr>
            <w:r>
              <w:rPr>
                <w:sz w:val="17"/>
              </w:rPr>
              <w:t>38%</w:t>
            </w:r>
          </w:p>
        </w:tc>
        <w:tc>
          <w:tcPr>
            <w:tcW w:type="dxa" w:w="1656"/>
            <w:vAlign w:val="center"/>
          </w:tcPr>
          <w:p>
            <w:pPr>
              <w:spacing w:after="0"/>
            </w:pPr>
            <w:r>
              <w:rPr>
                <w:sz w:val="17"/>
              </w:rPr>
              <w:t>39%</w:t>
            </w:r>
          </w:p>
        </w:tc>
        <w:tc>
          <w:tcPr>
            <w:tcW w:type="dxa" w:w="1656"/>
            <w:vAlign w:val="center"/>
          </w:tcPr>
          <w:p>
            <w:pPr>
              <w:spacing w:after="0"/>
            </w:pPr>
            <w:r>
              <w:rPr>
                <w:sz w:val="17"/>
              </w:rPr>
              <w:t>18%</w:t>
            </w:r>
          </w:p>
        </w:tc>
        <w:tc>
          <w:tcPr>
            <w:tcW w:type="dxa" w:w="1656"/>
            <w:vAlign w:val="center"/>
          </w:tcPr>
          <w:p>
            <w:pPr>
              <w:spacing w:after="0"/>
            </w:pPr>
            <w:r>
              <w:rPr>
                <w:sz w:val="17"/>
              </w:rPr>
              <w:t>4.7%</w:t>
            </w:r>
          </w:p>
        </w:tc>
        <w:tc>
          <w:tcPr>
            <w:tcW w:type="dxa" w:w="1656"/>
            <w:vAlign w:val="center"/>
          </w:tcPr>
          <w:p>
            <w:pPr>
              <w:spacing w:after="0"/>
            </w:pPr>
            <w:r>
              <w:rPr>
                <w:sz w:val="17"/>
              </w:rPr>
              <w:t>0.3%</w:t>
            </w:r>
          </w:p>
        </w:tc>
      </w:tr>
      <w:tr>
        <w:tc>
          <w:tcPr>
            <w:tcW w:type="dxa" w:w="1008"/>
            <w:vAlign w:val="center"/>
          </w:tcPr>
          <w:p>
            <w:pPr>
              <w:spacing w:after="0"/>
            </w:pPr>
            <w:r>
              <w:rPr>
                <w:sz w:val="17"/>
              </w:rPr>
              <w:t>C4</w:t>
            </w:r>
          </w:p>
        </w:tc>
        <w:tc>
          <w:tcPr>
            <w:tcW w:type="dxa" w:w="1656"/>
            <w:vAlign w:val="center"/>
          </w:tcPr>
          <w:p>
            <w:pPr>
              <w:spacing w:after="0"/>
            </w:pPr>
            <w:r>
              <w:rPr>
                <w:sz w:val="17"/>
              </w:rPr>
              <w:t>15%</w:t>
            </w:r>
          </w:p>
        </w:tc>
        <w:tc>
          <w:tcPr>
            <w:tcW w:type="dxa" w:w="1656"/>
            <w:vAlign w:val="center"/>
          </w:tcPr>
          <w:p>
            <w:pPr>
              <w:spacing w:after="0"/>
            </w:pPr>
            <w:r>
              <w:rPr>
                <w:sz w:val="17"/>
              </w:rPr>
              <w:t>35%</w:t>
            </w:r>
          </w:p>
        </w:tc>
        <w:tc>
          <w:tcPr>
            <w:tcW w:type="dxa" w:w="1656"/>
            <w:vAlign w:val="center"/>
          </w:tcPr>
          <w:p>
            <w:pPr>
              <w:spacing w:after="0"/>
            </w:pPr>
            <w:r>
              <w:rPr>
                <w:sz w:val="17"/>
              </w:rPr>
              <w:t>34%</w:t>
            </w:r>
          </w:p>
        </w:tc>
        <w:tc>
          <w:tcPr>
            <w:tcW w:type="dxa" w:w="1656"/>
            <w:vAlign w:val="center"/>
          </w:tcPr>
          <w:p>
            <w:pPr>
              <w:spacing w:after="0"/>
            </w:pPr>
            <w:r>
              <w:rPr>
                <w:sz w:val="17"/>
              </w:rPr>
              <w:t>15%</w:t>
            </w:r>
          </w:p>
        </w:tc>
        <w:tc>
          <w:tcPr>
            <w:tcW w:type="dxa" w:w="1656"/>
            <w:vAlign w:val="center"/>
          </w:tcPr>
          <w:p>
            <w:pPr>
              <w:spacing w:after="0"/>
            </w:pPr>
            <w:r>
              <w:rPr>
                <w:sz w:val="17"/>
              </w:rPr>
              <w:t>1%</w:t>
            </w:r>
          </w:p>
        </w:tc>
      </w:tr>
      <w:tr>
        <w:tc>
          <w:tcPr>
            <w:tcW w:type="dxa" w:w="1008"/>
            <w:vAlign w:val="center"/>
          </w:tcPr>
          <w:p>
            <w:pPr>
              <w:spacing w:after="0"/>
            </w:pPr>
            <w:r>
              <w:rPr>
                <w:sz w:val="17"/>
              </w:rPr>
              <w:t>C5</w:t>
            </w:r>
          </w:p>
        </w:tc>
        <w:tc>
          <w:tcPr>
            <w:tcW w:type="dxa" w:w="1656"/>
            <w:vAlign w:val="center"/>
          </w:tcPr>
          <w:p>
            <w:pPr>
              <w:spacing w:after="0"/>
            </w:pPr>
            <w:r>
              <w:rPr>
                <w:sz w:val="17"/>
              </w:rPr>
              <w:t>0%</w:t>
            </w:r>
          </w:p>
        </w:tc>
        <w:tc>
          <w:tcPr>
            <w:tcW w:type="dxa" w:w="1656"/>
            <w:vAlign w:val="center"/>
          </w:tcPr>
          <w:p>
            <w:pPr>
              <w:spacing w:after="0"/>
            </w:pPr>
            <w:r>
              <w:rPr>
                <w:sz w:val="17"/>
              </w:rPr>
              <w:t>15%</w:t>
            </w:r>
          </w:p>
        </w:tc>
        <w:tc>
          <w:tcPr>
            <w:tcW w:type="dxa" w:w="1656"/>
            <w:vAlign w:val="center"/>
          </w:tcPr>
          <w:p>
            <w:pPr>
              <w:spacing w:after="0"/>
            </w:pPr>
            <w:r>
              <w:rPr>
                <w:sz w:val="17"/>
              </w:rPr>
              <w:t>40%</w:t>
            </w:r>
          </w:p>
        </w:tc>
        <w:tc>
          <w:tcPr>
            <w:tcW w:type="dxa" w:w="1656"/>
            <w:vAlign w:val="center"/>
          </w:tcPr>
          <w:p>
            <w:pPr>
              <w:spacing w:after="0"/>
            </w:pPr>
            <w:r>
              <w:rPr>
                <w:sz w:val="17"/>
              </w:rPr>
              <w:t>40%</w:t>
            </w:r>
          </w:p>
        </w:tc>
        <w:tc>
          <w:tcPr>
            <w:tcW w:type="dxa" w:w="1656"/>
            <w:vAlign w:val="center"/>
          </w:tcPr>
          <w:p>
            <w:pPr>
              <w:spacing w:after="0"/>
            </w:pPr>
            <w:r>
              <w:rPr>
                <w:sz w:val="17"/>
              </w:rPr>
              <w:t>5%</w:t>
            </w:r>
          </w:p>
        </w:tc>
      </w:tr>
    </w:tbl>
    <w:p>
      <w:pPr>
        <w:pStyle w:val="Heading3"/>
        <w:keepNext/>
      </w:pPr>
      <w:r>
        <w:t>废弃工厂容器类型与默认建议尺寸</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936"/>
            <w:vAlign w:val="center"/>
            <w:shd w:fill="D9E7F3"/>
          </w:tcPr>
          <w:p>
            <w:pPr>
              <w:spacing w:after="0"/>
            </w:pPr>
            <w:r>
              <w:rPr>
                <w:b/>
                <w:sz w:val="16"/>
              </w:rPr>
              <w:t>Tier</w:t>
            </w:r>
          </w:p>
        </w:tc>
        <w:tc>
          <w:tcPr>
            <w:tcW w:type="dxa" w:w="4536"/>
            <w:vAlign w:val="center"/>
            <w:shd w:fill="D9E7F3"/>
          </w:tcPr>
          <w:p>
            <w:pPr>
              <w:spacing w:after="0"/>
            </w:pPr>
            <w:r>
              <w:rPr>
                <w:b/>
                <w:sz w:val="16"/>
              </w:rPr>
              <w:t>ContainerType（暂定）</w:t>
            </w:r>
          </w:p>
        </w:tc>
        <w:tc>
          <w:tcPr>
            <w:tcW w:type="dxa" w:w="1656"/>
            <w:vAlign w:val="center"/>
            <w:shd w:fill="D9E7F3"/>
          </w:tcPr>
          <w:p>
            <w:pPr>
              <w:spacing w:after="0"/>
            </w:pPr>
            <w:r>
              <w:rPr>
                <w:b/>
                <w:sz w:val="16"/>
              </w:rPr>
              <w:t>默认建议 GridSize</w:t>
            </w:r>
          </w:p>
        </w:tc>
        <w:tc>
          <w:tcPr>
            <w:tcW w:type="dxa" w:w="2232"/>
            <w:vAlign w:val="center"/>
            <w:shd w:fill="D9E7F3"/>
          </w:tcPr>
          <w:p>
            <w:pPr>
              <w:spacing w:after="0"/>
            </w:pPr>
            <w:r>
              <w:rPr>
                <w:b/>
                <w:sz w:val="16"/>
              </w:rPr>
              <w:t>配置边界</w:t>
            </w:r>
          </w:p>
        </w:tc>
      </w:tr>
      <w:tr>
        <w:tc>
          <w:tcPr>
            <w:tcW w:type="dxa" w:w="936"/>
            <w:vAlign w:val="center"/>
          </w:tcPr>
          <w:p>
            <w:pPr>
              <w:spacing w:after="0"/>
            </w:pPr>
            <w:r>
              <w:rPr>
                <w:sz w:val="16"/>
              </w:rPr>
              <w:t>C1</w:t>
            </w:r>
          </w:p>
        </w:tc>
        <w:tc>
          <w:tcPr>
            <w:tcW w:type="dxa" w:w="4536"/>
            <w:vAlign w:val="center"/>
          </w:tcPr>
          <w:p>
            <w:pPr>
              <w:spacing w:after="0"/>
            </w:pPr>
            <w:r>
              <w:rPr>
                <w:sz w:val="16"/>
              </w:rPr>
              <w:t>纸箱、垃圾桶、床头柜、小抽屉、食堂杂物篮</w:t>
            </w:r>
          </w:p>
        </w:tc>
        <w:tc>
          <w:tcPr>
            <w:tcW w:type="dxa" w:w="1656"/>
            <w:vAlign w:val="center"/>
          </w:tcPr>
          <w:p>
            <w:pPr>
              <w:spacing w:after="0"/>
            </w:pPr>
            <w:r>
              <w:rPr>
                <w:sz w:val="16"/>
              </w:rPr>
              <w:t>3×3</w:t>
            </w:r>
          </w:p>
        </w:tc>
        <w:tc>
          <w:tcPr>
            <w:tcW w:type="dxa" w:w="2232"/>
            <w:vAlign w:val="center"/>
          </w:tcPr>
          <w:p>
            <w:pPr>
              <w:spacing w:after="0"/>
            </w:pPr>
            <w:r>
              <w:rPr>
                <w:sz w:val="16"/>
              </w:rPr>
              <w:t>同级未来可配置不同尺寸</w:t>
            </w:r>
          </w:p>
        </w:tc>
      </w:tr>
      <w:tr>
        <w:tc>
          <w:tcPr>
            <w:tcW w:type="dxa" w:w="936"/>
            <w:vAlign w:val="center"/>
          </w:tcPr>
          <w:p>
            <w:pPr>
              <w:spacing w:after="0"/>
            </w:pPr>
            <w:r>
              <w:rPr>
                <w:sz w:val="16"/>
              </w:rPr>
              <w:t>C2</w:t>
            </w:r>
          </w:p>
        </w:tc>
        <w:tc>
          <w:tcPr>
            <w:tcW w:type="dxa" w:w="4536"/>
            <w:vAlign w:val="center"/>
          </w:tcPr>
          <w:p>
            <w:pPr>
              <w:spacing w:after="0"/>
            </w:pPr>
            <w:r>
              <w:rPr>
                <w:sz w:val="16"/>
              </w:rPr>
              <w:t>工具箱、工人储物柜、厨房橱柜、办公桌抽屉、宿舍衣柜</w:t>
            </w:r>
          </w:p>
        </w:tc>
        <w:tc>
          <w:tcPr>
            <w:tcW w:type="dxa" w:w="1656"/>
            <w:vAlign w:val="center"/>
          </w:tcPr>
          <w:p>
            <w:pPr>
              <w:spacing w:after="0"/>
            </w:pPr>
            <w:r>
              <w:rPr>
                <w:sz w:val="16"/>
              </w:rPr>
              <w:t>4×4</w:t>
            </w:r>
          </w:p>
        </w:tc>
        <w:tc>
          <w:tcPr>
            <w:tcW w:type="dxa" w:w="2232"/>
            <w:vAlign w:val="center"/>
          </w:tcPr>
          <w:p>
            <w:pPr>
              <w:spacing w:after="0"/>
            </w:pPr>
            <w:r>
              <w:rPr>
                <w:sz w:val="16"/>
              </w:rPr>
              <w:t>同级未来可配置不同尺寸</w:t>
            </w:r>
          </w:p>
        </w:tc>
      </w:tr>
      <w:tr>
        <w:tc>
          <w:tcPr>
            <w:tcW w:type="dxa" w:w="936"/>
            <w:vAlign w:val="center"/>
          </w:tcPr>
          <w:p>
            <w:pPr>
              <w:spacing w:after="0"/>
            </w:pPr>
            <w:r>
              <w:rPr>
                <w:sz w:val="16"/>
              </w:rPr>
              <w:t>C3</w:t>
            </w:r>
          </w:p>
        </w:tc>
        <w:tc>
          <w:tcPr>
            <w:tcW w:type="dxa" w:w="4536"/>
            <w:vAlign w:val="center"/>
          </w:tcPr>
          <w:p>
            <w:pPr>
              <w:spacing w:after="0"/>
            </w:pPr>
            <w:r>
              <w:rPr>
                <w:sz w:val="16"/>
              </w:rPr>
              <w:t>大型工具柜、文件柜、医药柜、工人物资柜、设备备件柜</w:t>
            </w:r>
          </w:p>
        </w:tc>
        <w:tc>
          <w:tcPr>
            <w:tcW w:type="dxa" w:w="1656"/>
            <w:vAlign w:val="center"/>
          </w:tcPr>
          <w:p>
            <w:pPr>
              <w:spacing w:after="0"/>
            </w:pPr>
            <w:r>
              <w:rPr>
                <w:sz w:val="16"/>
              </w:rPr>
              <w:t>5×5</w:t>
            </w:r>
          </w:p>
        </w:tc>
        <w:tc>
          <w:tcPr>
            <w:tcW w:type="dxa" w:w="2232"/>
            <w:vAlign w:val="center"/>
          </w:tcPr>
          <w:p>
            <w:pPr>
              <w:spacing w:after="0"/>
            </w:pPr>
            <w:r>
              <w:rPr>
                <w:sz w:val="16"/>
              </w:rPr>
              <w:t>同级未来可配置不同尺寸</w:t>
            </w:r>
          </w:p>
        </w:tc>
      </w:tr>
      <w:tr>
        <w:tc>
          <w:tcPr>
            <w:tcW w:type="dxa" w:w="936"/>
            <w:vAlign w:val="center"/>
          </w:tcPr>
          <w:p>
            <w:pPr>
              <w:spacing w:after="0"/>
            </w:pPr>
            <w:r>
              <w:rPr>
                <w:sz w:val="16"/>
              </w:rPr>
              <w:t>C4</w:t>
            </w:r>
          </w:p>
        </w:tc>
        <w:tc>
          <w:tcPr>
            <w:tcW w:type="dxa" w:w="4536"/>
            <w:vAlign w:val="center"/>
          </w:tcPr>
          <w:p>
            <w:pPr>
              <w:spacing w:after="0"/>
            </w:pPr>
            <w:r>
              <w:rPr>
                <w:sz w:val="16"/>
              </w:rPr>
              <w:t>上锁工具柜、厂长档案柜、财务文件柜、贵重物品柜、设备控制柜</w:t>
            </w:r>
          </w:p>
        </w:tc>
        <w:tc>
          <w:tcPr>
            <w:tcW w:type="dxa" w:w="1656"/>
            <w:vAlign w:val="center"/>
          </w:tcPr>
          <w:p>
            <w:pPr>
              <w:spacing w:after="0"/>
            </w:pPr>
            <w:r>
              <w:rPr>
                <w:sz w:val="16"/>
              </w:rPr>
              <w:t>6×5</w:t>
            </w:r>
          </w:p>
        </w:tc>
        <w:tc>
          <w:tcPr>
            <w:tcW w:type="dxa" w:w="2232"/>
            <w:vAlign w:val="center"/>
          </w:tcPr>
          <w:p>
            <w:pPr>
              <w:spacing w:after="0"/>
            </w:pPr>
            <w:r>
              <w:rPr>
                <w:sz w:val="16"/>
              </w:rPr>
              <w:t>同级未来可配置不同尺寸</w:t>
            </w:r>
          </w:p>
        </w:tc>
      </w:tr>
      <w:tr>
        <w:tc>
          <w:tcPr>
            <w:tcW w:type="dxa" w:w="936"/>
            <w:vAlign w:val="center"/>
          </w:tcPr>
          <w:p>
            <w:pPr>
              <w:spacing w:after="0"/>
            </w:pPr>
            <w:r>
              <w:rPr>
                <w:sz w:val="16"/>
              </w:rPr>
              <w:t>C5</w:t>
            </w:r>
          </w:p>
        </w:tc>
        <w:tc>
          <w:tcPr>
            <w:tcW w:type="dxa" w:w="4536"/>
            <w:vAlign w:val="center"/>
          </w:tcPr>
          <w:p>
            <w:pPr>
              <w:spacing w:after="0"/>
            </w:pPr>
            <w:r>
              <w:rPr>
                <w:sz w:val="16"/>
              </w:rPr>
              <w:t>保险箱</w:t>
            </w:r>
          </w:p>
        </w:tc>
        <w:tc>
          <w:tcPr>
            <w:tcW w:type="dxa" w:w="1656"/>
            <w:vAlign w:val="center"/>
          </w:tcPr>
          <w:p>
            <w:pPr>
              <w:spacing w:after="0"/>
            </w:pPr>
            <w:r>
              <w:rPr>
                <w:sz w:val="16"/>
              </w:rPr>
              <w:t>6×6</w:t>
            </w:r>
          </w:p>
        </w:tc>
        <w:tc>
          <w:tcPr>
            <w:tcW w:type="dxa" w:w="2232"/>
            <w:vAlign w:val="center"/>
          </w:tcPr>
          <w:p>
            <w:pPr>
              <w:spacing w:after="0"/>
            </w:pPr>
            <w:r>
              <w:rPr>
                <w:sz w:val="16"/>
              </w:rPr>
              <w:t>当前类型；未来可扩更多 C5 保险箱</w:t>
            </w:r>
          </w:p>
        </w:tc>
      </w:tr>
    </w:tbl>
    <w:p>
      <w:pPr>
        <w:pStyle w:val="Heading1"/>
        <w:keepNext/>
      </w:pPr>
      <w:r>
        <w:t>6. 数据模型与架构约束</w:t>
      </w:r>
    </w:p>
    <w:p>
      <w:pPr>
        <w:keepLines w:val="0"/>
      </w:pPr>
      <w:r>
        <w:rPr>
          <w:rFonts w:ascii="Microsoft YaHei" w:hAnsi="Microsoft YaHei" w:eastAsia="Microsoft YaHei"/>
          <w:color w:val="1F2933"/>
        </w:rPr>
        <w:t>本节规定语义与不变量，不指定语言、引擎、数据库或序列化格式。技术栈未确认前，Codex MUST NOT 以实现偏好反向修改产品模型。</w:t>
      </w:r>
    </w:p>
    <w:p>
      <w:pPr>
        <w:pStyle w:val="Heading2"/>
        <w:keepNext/>
      </w:pPr>
      <w:r>
        <w:t>6.1 配置与代码分离</w:t>
      </w:r>
    </w:p>
    <w:p>
      <w:pPr>
        <w:pStyle w:val="ListBullet"/>
      </w:pPr>
      <w:r>
        <w:t>所有平衡、内容与测试参数 MUST 来自集中配置，包括：容器品质权重、容器类型的 tier/gridWidth/gridHeight、容器物品数、背包尺寸与价格、初始货币、安全箱、搜索等待时间、揭晓动画时间、对局时长、撤离时长、撤离门槛、物品价值/尺寸/品质以及视觉基准值。不得散落硬编码。</w:t>
      </w:r>
    </w:p>
    <w:p>
      <w:pPr>
        <w:pStyle w:val="ListBullet"/>
      </w:pPr>
      <w:r>
        <w:t>暂定值 MUST 有单一配置来源；UI、逻辑和测试不得各自维护副本。修改一个暂定数值原则上只改配置；若必须修改核心算法或 UI，视为实现不合格。</w:t>
      </w:r>
    </w:p>
    <w:p>
      <w:pPr>
        <w:pStyle w:val="ListBullet"/>
      </w:pPr>
      <w:r>
        <w:t>新增或调整物品、容器类型、概率或测试经济 SHOULD 主要通过修改配置完成，不应修改搜索、库存、结算核心算法或 UI 结构。</w:t>
      </w:r>
    </w:p>
    <w:p>
      <w:pPr>
        <w:pStyle w:val="ListBullet"/>
      </w:pPr>
      <w:r>
        <w:rPr>
          <w:rFonts w:ascii="Microsoft YaHei" w:hAnsi="Microsoft YaHei" w:eastAsia="Microsoft YaHei"/>
          <w:color w:val="1F2933"/>
        </w:rPr>
        <w:t>对未确定字段 MAY 建立空字段或接口，但 MUST NOT 写入未经确认的默认产品值。</w:t>
      </w:r>
    </w:p>
    <w:p>
      <w:pPr>
        <w:pStyle w:val="Heading2"/>
        <w:keepNext/>
      </w:pPr>
      <w:r>
        <w:t>6.2 最小语义实体</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4490"/>
        <w:gridCol w:w="3170"/>
      </w:tblGrid>
      <w:tr>
        <w:trPr>
          <w:tblHeader w:val="true"/>
          <w:cantSplit/>
        </w:trPr>
        <w:tc>
          <w:tcPr>
            <w:tcW w:type="dxa" w:w="17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实体</w:t>
            </w:r>
          </w:p>
        </w:tc>
        <w:tc>
          <w:tcPr>
            <w:tcW w:type="dxa" w:w="449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MUST 字段/职责</w:t>
            </w:r>
          </w:p>
        </w:tc>
        <w:tc>
          <w:tcPr>
            <w:tcW w:type="dxa" w:w="317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约束</w:t>
            </w:r>
          </w:p>
        </w:tc>
      </w:tr>
      <w:tr>
        <w:trPr>
          <w:cantSplit/>
        </w:trPr>
        <w:tc>
          <w:tcPr>
            <w:tcW w:type="dxa" w:w="1700"/>
            <w:vAlign w:val="center"/>
          </w:tcPr>
          <w:p>
            <w:pPr>
              <w:spacing w:before="20" w:after="40" w:line="252" w:lineRule="auto"/>
            </w:pPr>
            <w:r>
              <w:rPr>
                <w:rFonts w:ascii="Microsoft YaHei" w:hAnsi="Microsoft YaHei" w:eastAsia="Microsoft YaHei"/>
                <w:color w:val="1F2933"/>
                <w:sz w:val="17"/>
              </w:rPr>
              <w:t>GameConfig</w:t>
            </w:r>
          </w:p>
        </w:tc>
        <w:tc>
          <w:tcPr>
            <w:tcW w:type="dxa" w:w="4490"/>
            <w:vAlign w:val="center"/>
          </w:tcPr>
          <w:p>
            <w:r>
              <w:t>matchDuration=180、extractionDuration=15、requiredCompletedContainers=5、initialCurrency=100000、rarityRevealDurations、revealFlipDuration、baseGridCellSize、containerItemCountRange</w:t>
            </w:r>
          </w:p>
        </w:tc>
        <w:tc>
          <w:tcPr>
            <w:tcW w:type="dxa" w:w="3170"/>
            <w:vAlign w:val="center"/>
          </w:tcPr>
          <w:p>
            <w:r>
              <w:t>集中配置入口；可引用分域配置，但产品数值不得出现多份事实来源。</w:t>
            </w:r>
          </w:p>
        </w:tc>
      </w:tr>
      <w:tr>
        <w:trPr>
          <w:cantSplit/>
        </w:trPr>
        <w:tc>
          <w:tcPr>
            <w:tcW w:type="dxa" w:w="1700"/>
            <w:vAlign w:val="center"/>
          </w:tcPr>
          <w:p>
            <w:pPr>
              <w:spacing w:before="20" w:after="40" w:line="252" w:lineRule="auto"/>
            </w:pPr>
            <w:r>
              <w:rPr>
                <w:rFonts w:ascii="Microsoft YaHei" w:hAnsi="Microsoft YaHei" w:eastAsia="Microsoft YaHei"/>
                <w:color w:val="1F2933"/>
                <w:sz w:val="17"/>
              </w:rPr>
              <w:t>ItemDefinition</w:t>
            </w:r>
          </w:p>
        </w:tc>
        <w:tc>
          <w:tcPr>
            <w:tcW w:type="dxa" w:w="4490"/>
            <w:vAlign w:val="center"/>
          </w:tcPr>
          <w:p>
            <w:pPr>
              <w:spacing w:before="20" w:after="40" w:line="252" w:lineRule="auto"/>
            </w:pPr>
            <w:r>
              <w:rPr>
                <w:rFonts w:ascii="Microsoft YaHei" w:hAnsi="Microsoft YaHei" w:eastAsia="Microsoft YaHei"/>
                <w:color w:val="1F2933"/>
                <w:sz w:val="17"/>
              </w:rPr>
              <w:t>definitionId、name、rarity、width、height、value、colorSemantic</w:t>
            </w:r>
          </w:p>
        </w:tc>
        <w:tc>
          <w:tcPr>
            <w:tcW w:type="dxa" w:w="3170"/>
            <w:vAlign w:val="center"/>
          </w:tcPr>
          <w:p>
            <w:pPr>
              <w:spacing w:before="20" w:after="40" w:line="252" w:lineRule="auto"/>
            </w:pPr>
            <w:r>
              <w:rPr>
                <w:rFonts w:ascii="Microsoft YaHei" w:hAnsi="Microsoft YaHei" w:eastAsia="Microsoft YaHei"/>
                <w:color w:val="1F2933"/>
                <w:sz w:val="17"/>
              </w:rPr>
              <w:t>定义数据与实例状态分离；尺寸为正整数。</w:t>
            </w:r>
          </w:p>
        </w:tc>
      </w:tr>
      <w:tr>
        <w:trPr>
          <w:cantSplit/>
        </w:trPr>
        <w:tc>
          <w:tcPr>
            <w:tcW w:type="dxa" w:w="1700"/>
            <w:vAlign w:val="center"/>
          </w:tcPr>
          <w:p>
            <w:pPr>
              <w:spacing w:before="20" w:after="40" w:line="252" w:lineRule="auto"/>
            </w:pPr>
            <w:r>
              <w:rPr>
                <w:rFonts w:ascii="Microsoft YaHei" w:hAnsi="Microsoft YaHei" w:eastAsia="Microsoft YaHei"/>
                <w:color w:val="1F2933"/>
                <w:sz w:val="17"/>
              </w:rPr>
              <w:t>ItemInstance</w:t>
            </w:r>
          </w:p>
        </w:tc>
        <w:tc>
          <w:tcPr>
            <w:tcW w:type="dxa" w:w="4490"/>
            <w:vAlign w:val="center"/>
          </w:tcPr>
          <w:p>
            <w:pPr>
              <w:spacing w:before="20" w:after="40" w:line="252" w:lineRule="auto"/>
            </w:pPr>
            <w:r>
              <w:rPr>
                <w:rFonts w:ascii="Microsoft YaHei" w:hAnsi="Microsoft YaHei" w:eastAsia="Microsoft YaHei"/>
                <w:color w:val="1F2933"/>
                <w:sz w:val="17"/>
              </w:rPr>
              <w:t>instanceId、definitionId、orientation、location、gridX/gridY（若在格子中）</w:t>
            </w:r>
          </w:p>
        </w:tc>
        <w:tc>
          <w:tcPr>
            <w:tcW w:type="dxa" w:w="3170"/>
            <w:vAlign w:val="center"/>
          </w:tcPr>
          <w:p>
            <w:pPr>
              <w:spacing w:before="20" w:after="40" w:line="252" w:lineRule="auto"/>
            </w:pPr>
            <w:r>
              <w:rPr>
                <w:rFonts w:ascii="Microsoft YaHei" w:hAnsi="Microsoft YaHei" w:eastAsia="Microsoft YaHei"/>
                <w:color w:val="1F2933"/>
                <w:sz w:val="17"/>
              </w:rPr>
              <w:t>instanceId 全局/运行内唯一；同一实例只能属于一个位置。</w:t>
            </w:r>
          </w:p>
        </w:tc>
      </w:tr>
      <w:tr>
        <w:trPr>
          <w:cantSplit/>
        </w:trPr>
        <w:tc>
          <w:tcPr>
            <w:tcW w:type="dxa" w:w="1700"/>
            <w:vAlign w:val="center"/>
          </w:tcPr>
          <w:p>
            <w:pPr>
              <w:spacing w:before="20" w:after="40" w:line="252" w:lineRule="auto"/>
            </w:pPr>
            <w:r>
              <w:rPr>
                <w:rFonts w:ascii="Microsoft YaHei" w:hAnsi="Microsoft YaHei" w:eastAsia="Microsoft YaHei"/>
                <w:color w:val="1F2933"/>
                <w:sz w:val="17"/>
              </w:rPr>
              <w:t>ContainerState</w:t>
            </w:r>
          </w:p>
        </w:tc>
        <w:tc>
          <w:tcPr>
            <w:tcW w:type="dxa" w:w="4490"/>
            <w:vAlign w:val="center"/>
          </w:tcPr>
          <w:p>
            <w:pPr>
              <w:spacing w:before="20" w:after="40" w:line="252" w:lineRule="auto"/>
            </w:pPr>
            <w:r>
              <w:rPr>
                <w:rFonts w:ascii="Microsoft YaHei" w:hAnsi="Microsoft YaHei" w:eastAsia="Microsoft YaHei"/>
                <w:color w:val="1F2933"/>
                <w:sz w:val="17"/>
              </w:rPr>
              <w:t>containerId、itemInstanceIds、每件 revealState、completed、counted</w:t>
            </w:r>
          </w:p>
        </w:tc>
        <w:tc>
          <w:tcPr>
            <w:tcW w:type="dxa" w:w="3170"/>
            <w:vAlign w:val="center"/>
          </w:tcPr>
          <w:p>
            <w:pPr>
              <w:spacing w:before="20" w:after="40" w:line="252" w:lineRule="auto"/>
            </w:pPr>
            <w:r>
              <w:rPr>
                <w:rFonts w:ascii="Microsoft YaHei" w:hAnsi="Microsoft YaHei" w:eastAsia="Microsoft YaHei"/>
                <w:color w:val="1F2933"/>
                <w:sz w:val="17"/>
              </w:rPr>
              <w:t>遮罩形状与最终尺寸一致；counted 防重复计数。</w:t>
            </w:r>
          </w:p>
        </w:tc>
      </w:tr>
      <w:tr>
        <w:trPr>
          <w:cantSplit/>
        </w:trPr>
        <w:tc>
          <w:tcPr>
            <w:tcW w:type="dxa" w:w="1700"/>
            <w:vAlign w:val="center"/>
          </w:tcPr>
          <w:p>
            <w:pPr>
              <w:spacing w:before="20" w:after="40" w:line="252" w:lineRule="auto"/>
            </w:pPr>
            <w:r>
              <w:rPr>
                <w:rFonts w:ascii="Microsoft YaHei" w:hAnsi="Microsoft YaHei" w:eastAsia="Microsoft YaHei"/>
                <w:color w:val="1F2933"/>
                <w:sz w:val="17"/>
              </w:rPr>
              <w:t>GridInventory</w:t>
            </w:r>
          </w:p>
        </w:tc>
        <w:tc>
          <w:tcPr>
            <w:tcW w:type="dxa" w:w="4490"/>
            <w:vAlign w:val="center"/>
          </w:tcPr>
          <w:p>
            <w:pPr>
              <w:spacing w:before="20" w:after="40" w:line="252" w:lineRule="auto"/>
            </w:pPr>
            <w:r>
              <w:rPr>
                <w:rFonts w:ascii="Microsoft YaHei" w:hAnsi="Microsoft YaHei" w:eastAsia="Microsoft YaHei"/>
                <w:color w:val="1F2933"/>
                <w:sz w:val="17"/>
              </w:rPr>
              <w:t>inventoryId、ownerType、width、height、placements</w:t>
            </w:r>
          </w:p>
        </w:tc>
        <w:tc>
          <w:tcPr>
            <w:tcW w:type="dxa" w:w="3170"/>
            <w:vAlign w:val="center"/>
          </w:tcPr>
          <w:p>
            <w:pPr>
              <w:spacing w:before="20" w:after="40" w:line="252" w:lineRule="auto"/>
            </w:pPr>
            <w:r>
              <w:rPr>
                <w:rFonts w:ascii="Microsoft YaHei" w:hAnsi="Microsoft YaHei" w:eastAsia="Microsoft YaHei"/>
                <w:color w:val="1F2933"/>
                <w:sz w:val="17"/>
              </w:rPr>
              <w:t>支持合法性校验；背包/安全箱/仓库语义分离。</w:t>
            </w:r>
          </w:p>
        </w:tc>
      </w:tr>
      <w:tr>
        <w:trPr>
          <w:cantSplit/>
        </w:trPr>
        <w:tc>
          <w:tcPr>
            <w:tcW w:type="dxa" w:w="1700"/>
            <w:vAlign w:val="center"/>
          </w:tcPr>
          <w:p>
            <w:pPr>
              <w:spacing w:before="20" w:after="40" w:line="252" w:lineRule="auto"/>
            </w:pPr>
            <w:r>
              <w:rPr>
                <w:rFonts w:ascii="Microsoft YaHei" w:hAnsi="Microsoft YaHei" w:eastAsia="Microsoft YaHei"/>
                <w:color w:val="1F2933"/>
                <w:sz w:val="17"/>
              </w:rPr>
              <w:t>BackpackOffer</w:t>
            </w:r>
          </w:p>
        </w:tc>
        <w:tc>
          <w:tcPr>
            <w:tcW w:type="dxa" w:w="4490"/>
            <w:vAlign w:val="center"/>
          </w:tcPr>
          <w:p>
            <w:r>
              <w:t>offerId、displayName、price、gridWidth、gridHeight、availability</w:t>
            </w:r>
          </w:p>
        </w:tc>
        <w:tc>
          <w:tcPr>
            <w:tcW w:type="dxa" w:w="3170"/>
            <w:vAlign w:val="center"/>
          </w:tcPr>
          <w:p>
            <w:r>
              <w:t>V0.1暂定三档：4×4/1000、5×5/2500、6×6/5000；购买必须校验与扣款。</w:t>
            </w:r>
          </w:p>
        </w:tc>
      </w:tr>
      <w:tr>
        <w:trPr>
          <w:cantSplit/>
        </w:trPr>
        <w:tc>
          <w:tcPr>
            <w:tcW w:type="dxa" w:w="1700"/>
            <w:vAlign w:val="center"/>
          </w:tcPr>
          <w:p>
            <w:pPr>
              <w:spacing w:before="20" w:after="40" w:line="252" w:lineRule="auto"/>
            </w:pPr>
            <w:r>
              <w:rPr>
                <w:rFonts w:ascii="Microsoft YaHei" w:hAnsi="Microsoft YaHei" w:eastAsia="Microsoft YaHei"/>
                <w:color w:val="1F2933"/>
                <w:sz w:val="17"/>
              </w:rPr>
              <w:t>RunState</w:t>
            </w:r>
          </w:p>
        </w:tc>
        <w:tc>
          <w:tcPr>
            <w:tcW w:type="dxa" w:w="4490"/>
            <w:vAlign w:val="center"/>
          </w:tcPr>
          <w:p>
            <w:pPr>
              <w:spacing w:before="20" w:after="40" w:line="252" w:lineRule="auto"/>
            </w:pPr>
            <w:r>
              <w:rPr>
                <w:rFonts w:ascii="Microsoft YaHei" w:hAnsi="Microsoft YaHei" w:eastAsia="Microsoft YaHei"/>
                <w:color w:val="1F2933"/>
                <w:sz w:val="17"/>
              </w:rPr>
              <w:t>runId、phase、remainingMatchTime、remainingExtractionTime、completedContainerCount、settled</w:t>
            </w:r>
          </w:p>
        </w:tc>
        <w:tc>
          <w:tcPr>
            <w:tcW w:type="dxa" w:w="3170"/>
            <w:vAlign w:val="center"/>
          </w:tcPr>
          <w:p>
            <w:pPr>
              <w:spacing w:before="20" w:after="40" w:line="252" w:lineRule="auto"/>
            </w:pPr>
            <w:r>
              <w:rPr>
                <w:rFonts w:ascii="Microsoft YaHei" w:hAnsi="Microsoft YaHei" w:eastAsia="Microsoft YaHei"/>
                <w:color w:val="1F2933"/>
                <w:sz w:val="17"/>
              </w:rPr>
              <w:t>状态转换单向受控；settled 防重复结算。</w:t>
            </w:r>
          </w:p>
        </w:tc>
      </w:tr>
      <w:tr>
        <w:trPr>
          <w:cantSplit/>
        </w:trPr>
        <w:tc>
          <w:tcPr>
            <w:tcW w:type="dxa" w:w="1700"/>
            <w:vAlign w:val="center"/>
          </w:tcPr>
          <w:p>
            <w:pPr>
              <w:spacing w:before="20" w:after="40" w:line="252" w:lineRule="auto"/>
            </w:pPr>
            <w:r>
              <w:rPr>
                <w:rFonts w:ascii="Microsoft YaHei" w:hAnsi="Microsoft YaHei" w:eastAsia="Microsoft YaHei"/>
                <w:color w:val="1F2933"/>
                <w:sz w:val="17"/>
              </w:rPr>
              <w:t>PlayerProfile</w:t>
            </w:r>
          </w:p>
        </w:tc>
        <w:tc>
          <w:tcPr>
            <w:tcW w:type="dxa" w:w="4490"/>
            <w:vAlign w:val="center"/>
          </w:tcPr>
          <w:p>
            <w:pPr>
              <w:spacing w:before="20" w:after="40" w:line="252" w:lineRule="auto"/>
            </w:pPr>
            <w:r>
              <w:rPr>
                <w:rFonts w:ascii="Microsoft YaHei" w:hAnsi="Microsoft YaHei" w:eastAsia="Microsoft YaHei"/>
                <w:color w:val="1F2933"/>
                <w:sz w:val="17"/>
              </w:rPr>
              <w:t>currency、warehouseItemIds、selected/loadout 引用</w:t>
            </w:r>
          </w:p>
        </w:tc>
        <w:tc>
          <w:tcPr>
            <w:tcW w:type="dxa" w:w="3170"/>
            <w:vAlign w:val="center"/>
          </w:tcPr>
          <w:p>
            <w:pPr>
              <w:spacing w:before="20" w:after="40" w:line="252" w:lineRule="auto"/>
            </w:pPr>
            <w:r>
              <w:rPr>
                <w:rFonts w:ascii="Microsoft YaHei" w:hAnsi="Microsoft YaHei" w:eastAsia="Microsoft YaHei"/>
                <w:color w:val="1F2933"/>
                <w:sz w:val="17"/>
              </w:rPr>
              <w:t>局外状态与本局临时状态分离。</w:t>
            </w:r>
          </w:p>
        </w:tc>
      </w:tr>
      <w:tr>
        <w:trPr>
          <w:cantSplit/>
        </w:trPr>
        <w:tc>
          <w:tcPr>
            <w:tcW w:type="dxa" w:w="1700"/>
            <w:vAlign w:val="center"/>
          </w:tcPr>
          <w:p>
            <w:pPr>
              <w:spacing w:before="20" w:after="40" w:line="252" w:lineRule="auto"/>
            </w:pPr>
            <w:r>
              <w:rPr>
                <w:rFonts w:ascii="Microsoft YaHei" w:hAnsi="Microsoft YaHei" w:eastAsia="Microsoft YaHei"/>
                <w:color w:val="1F2933"/>
                <w:sz w:val="17"/>
              </w:rPr>
              <w:t>Transaction</w:t>
            </w:r>
          </w:p>
        </w:tc>
        <w:tc>
          <w:tcPr>
            <w:tcW w:type="dxa" w:w="4490"/>
            <w:vAlign w:val="center"/>
          </w:tcPr>
          <w:p>
            <w:pPr>
              <w:spacing w:before="20" w:after="40" w:line="252" w:lineRule="auto"/>
            </w:pPr>
            <w:r>
              <w:rPr>
                <w:rFonts w:ascii="Microsoft YaHei" w:hAnsi="Microsoft YaHei" w:eastAsia="Microsoft YaHei"/>
                <w:color w:val="1F2933"/>
                <w:sz w:val="17"/>
              </w:rPr>
              <w:t>transactionId、type、amount/itemIds、before/after 或等价校验信息、status</w:t>
            </w:r>
          </w:p>
        </w:tc>
        <w:tc>
          <w:tcPr>
            <w:tcW w:type="dxa" w:w="3170"/>
            <w:vAlign w:val="center"/>
          </w:tcPr>
          <w:p>
            <w:pPr>
              <w:spacing w:before="20" w:after="40" w:line="252" w:lineRule="auto"/>
            </w:pPr>
            <w:r>
              <w:rPr>
                <w:rFonts w:ascii="Microsoft YaHei" w:hAnsi="Microsoft YaHei" w:eastAsia="Microsoft YaHei"/>
                <w:color w:val="1F2933"/>
                <w:sz w:val="17"/>
              </w:rPr>
              <w:t>购买、出售、结算须可防重和诊断；具体存储形式可由技术方案决定。</w:t>
            </w:r>
          </w:p>
        </w:tc>
      </w:tr>
      <w:tr>
        <w:tc>
          <w:tcPr>
            <w:tcW w:type="dxa" w:w="1700"/>
            <w:vAlign w:val="center"/>
          </w:tcPr>
          <w:p>
            <w:r>
              <w:t>ContainerTierConfig</w:t>
            </w:r>
          </w:p>
        </w:tc>
        <w:tc>
          <w:tcPr>
            <w:tcW w:type="dxa" w:w="4490"/>
            <w:vAlign w:val="center"/>
          </w:tcPr>
          <w:p>
            <w:r>
              <w:t>tier、rarityWeights</w:t>
            </w:r>
          </w:p>
        </w:tc>
        <w:tc>
          <w:tcPr>
            <w:tcW w:type="dxa" w:w="3170"/>
            <w:vAlign w:val="center"/>
          </w:tcPr>
          <w:p>
            <w:r>
              <w:t>C1～C5仅决定产出权重；每件物品独立抽取；权重合计必须为100%。</w:t>
            </w:r>
          </w:p>
        </w:tc>
      </w:tr>
      <w:tr>
        <w:tc>
          <w:tcPr>
            <w:tcW w:type="dxa" w:w="1700"/>
            <w:vAlign w:val="center"/>
          </w:tcPr>
          <w:p>
            <w:r>
              <w:t>ContainerType</w:t>
            </w:r>
          </w:p>
        </w:tc>
        <w:tc>
          <w:tcPr>
            <w:tcW w:type="dxa" w:w="4490"/>
            <w:vAlign w:val="center"/>
          </w:tcPr>
          <w:p>
            <w:r>
              <w:t>typeId、displayName、tier、gridWidth、gridHeight、iconId、mapAvailability</w:t>
            </w:r>
          </w:p>
        </w:tc>
        <w:tc>
          <w:tcPr>
            <w:tcW w:type="dxa" w:w="3170"/>
            <w:vAlign w:val="center"/>
          </w:tcPr>
          <w:p>
            <w:r>
              <w:t>类型与Tier分离；GridSize由类型配置，不得由Tier硬编码推导。</w:t>
            </w:r>
          </w:p>
        </w:tc>
      </w:tr>
      <w:tr>
        <w:tc>
          <w:tcPr>
            <w:tcW w:type="dxa" w:w="1700"/>
            <w:vAlign w:val="center"/>
          </w:tcPr>
          <w:p>
            <w:r>
              <w:t>SafeContainerConfig</w:t>
            </w:r>
          </w:p>
        </w:tc>
        <w:tc>
          <w:tcPr>
            <w:tcW w:type="dxa" w:w="4490"/>
            <w:vAlign w:val="center"/>
          </w:tcPr>
          <w:p>
            <w:r>
              <w:t>gridWidth=2、gridHeight=2、defaultOwned=true、price=0</w:t>
            </w:r>
          </w:p>
        </w:tc>
        <w:tc>
          <w:tcPr>
            <w:tcW w:type="dxa" w:w="3170"/>
            <w:vAlign w:val="center"/>
          </w:tcPr>
          <w:p>
            <w:r>
              <w:t>仅V0.1测试配置；未来正式档位与经济仍不实现。</w:t>
            </w:r>
          </w:p>
        </w:tc>
      </w:tr>
      <w:tr>
        <w:tc>
          <w:tcPr>
            <w:tcW w:type="dxa" w:w="1700"/>
            <w:vAlign w:val="center"/>
          </w:tcPr>
          <w:p>
            <w:r>
              <w:t>VisualConfig</w:t>
            </w:r>
          </w:p>
        </w:tc>
        <w:tc>
          <w:tcPr>
            <w:tcW w:type="dxa" w:w="4490"/>
            <w:vAlign w:val="center"/>
          </w:tcPr>
          <w:p>
            <w:r>
              <w:t>designWidth=1920、designHeight=1080、baseGridCellSize=64、revealFlipDuration=250～400ms、semanticColors</w:t>
            </w:r>
          </w:p>
        </w:tc>
        <w:tc>
          <w:tcPr>
            <w:tcW w:type="dxa" w:w="3170"/>
            <w:vAlign w:val="center"/>
          </w:tcPr>
          <w:p>
            <w:r>
              <w:t>布局响应式；精确品质HEX仍为TBD。</w:t>
            </w:r>
          </w:p>
        </w:tc>
      </w:tr>
    </w:tbl>
    <w:p>
      <w:pPr>
        <w:spacing w:after="0"/>
      </w:pPr>
    </w:p>
    <w:p>
      <w:pPr>
        <w:pStyle w:val="Heading2"/>
        <w:keepNext/>
      </w:pPr>
      <w:r>
        <w:t>6.3 核心不变量（任何实现都必须成立）</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100"/>
        <w:gridCol w:w="1700"/>
        <w:gridCol w:w="6560"/>
      </w:tblGrid>
      <w:tr>
        <w:trPr>
          <w:tblHeader w:val="true"/>
          <w:cantSplit/>
        </w:trPr>
        <w:tc>
          <w:tcPr>
            <w:tcW w:type="dxa" w:w="11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ID</w:t>
            </w:r>
          </w:p>
        </w:tc>
        <w:tc>
          <w:tcPr>
            <w:tcW w:type="dxa" w:w="17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名称</w:t>
            </w:r>
          </w:p>
        </w:tc>
        <w:tc>
          <w:tcPr>
            <w:tcW w:type="dxa" w:w="65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不可破坏的规则</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INV-01</w:t>
            </w:r>
          </w:p>
        </w:tc>
        <w:tc>
          <w:tcPr>
            <w:tcW w:type="dxa" w:w="1700"/>
            <w:vAlign w:val="center"/>
          </w:tcPr>
          <w:p>
            <w:pPr>
              <w:spacing w:before="20" w:after="40" w:line="252" w:lineRule="auto"/>
            </w:pPr>
            <w:r>
              <w:rPr>
                <w:rFonts w:ascii="Microsoft YaHei" w:hAnsi="Microsoft YaHei" w:eastAsia="Microsoft YaHei"/>
                <w:color w:val="1F2933"/>
                <w:sz w:val="17"/>
              </w:rPr>
              <w:t>唯一归属</w:t>
            </w:r>
          </w:p>
        </w:tc>
        <w:tc>
          <w:tcPr>
            <w:tcW w:type="dxa" w:w="6560"/>
            <w:vAlign w:val="center"/>
          </w:tcPr>
          <w:p>
            <w:pPr>
              <w:spacing w:before="20" w:after="40" w:line="252" w:lineRule="auto"/>
            </w:pPr>
            <w:r>
              <w:rPr>
                <w:rFonts w:ascii="Microsoft YaHei" w:hAnsi="Microsoft YaHei" w:eastAsia="Microsoft YaHei"/>
                <w:color w:val="1F2933"/>
                <w:sz w:val="17"/>
              </w:rPr>
              <w:t>每个 ItemInstance 同一时刻恰好位于一个合法位置，或被明确标记为已丢弃/已销毁。</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INV-02</w:t>
            </w:r>
          </w:p>
        </w:tc>
        <w:tc>
          <w:tcPr>
            <w:tcW w:type="dxa" w:w="1700"/>
            <w:vAlign w:val="center"/>
          </w:tcPr>
          <w:p>
            <w:pPr>
              <w:spacing w:before="20" w:after="40" w:line="252" w:lineRule="auto"/>
            </w:pPr>
            <w:r>
              <w:rPr>
                <w:rFonts w:ascii="Microsoft YaHei" w:hAnsi="Microsoft YaHei" w:eastAsia="Microsoft YaHei"/>
                <w:color w:val="1F2933"/>
                <w:sz w:val="17"/>
              </w:rPr>
              <w:t>无复制</w:t>
            </w:r>
          </w:p>
        </w:tc>
        <w:tc>
          <w:tcPr>
            <w:tcW w:type="dxa" w:w="6560"/>
            <w:vAlign w:val="center"/>
          </w:tcPr>
          <w:p>
            <w:pPr>
              <w:spacing w:before="20" w:after="40" w:line="252" w:lineRule="auto"/>
            </w:pPr>
            <w:r>
              <w:rPr>
                <w:rFonts w:ascii="Microsoft YaHei" w:hAnsi="Microsoft YaHei" w:eastAsia="Microsoft YaHei"/>
                <w:color w:val="1F2933"/>
                <w:sz w:val="17"/>
              </w:rPr>
              <w:t>任何移动、旋转、替换、结算、出售均不得生成未授权副本。</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INV-03</w:t>
            </w:r>
          </w:p>
        </w:tc>
        <w:tc>
          <w:tcPr>
            <w:tcW w:type="dxa" w:w="1700"/>
            <w:vAlign w:val="center"/>
          </w:tcPr>
          <w:p>
            <w:pPr>
              <w:spacing w:before="20" w:after="40" w:line="252" w:lineRule="auto"/>
            </w:pPr>
            <w:r>
              <w:rPr>
                <w:rFonts w:ascii="Microsoft YaHei" w:hAnsi="Microsoft YaHei" w:eastAsia="Microsoft YaHei"/>
                <w:color w:val="1F2933"/>
                <w:sz w:val="17"/>
              </w:rPr>
              <w:t>无误失</w:t>
            </w:r>
          </w:p>
        </w:tc>
        <w:tc>
          <w:tcPr>
            <w:tcW w:type="dxa" w:w="6560"/>
            <w:vAlign w:val="center"/>
          </w:tcPr>
          <w:p>
            <w:pPr>
              <w:spacing w:before="20" w:after="40" w:line="252" w:lineRule="auto"/>
            </w:pPr>
            <w:r>
              <w:rPr>
                <w:rFonts w:ascii="Microsoft YaHei" w:hAnsi="Microsoft YaHei" w:eastAsia="Microsoft YaHei"/>
                <w:color w:val="1F2933"/>
                <w:sz w:val="17"/>
              </w:rPr>
              <w:t>除明确丢弃、失败销毁背包物品、出售外，不得使物品消失。</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INV-04</w:t>
            </w:r>
          </w:p>
        </w:tc>
        <w:tc>
          <w:tcPr>
            <w:tcW w:type="dxa" w:w="1700"/>
            <w:vAlign w:val="center"/>
          </w:tcPr>
          <w:p>
            <w:pPr>
              <w:spacing w:before="20" w:after="40" w:line="252" w:lineRule="auto"/>
            </w:pPr>
            <w:r>
              <w:rPr>
                <w:rFonts w:ascii="Microsoft YaHei" w:hAnsi="Microsoft YaHei" w:eastAsia="Microsoft YaHei"/>
                <w:color w:val="1F2933"/>
                <w:sz w:val="17"/>
              </w:rPr>
              <w:t>格子合法</w:t>
            </w:r>
          </w:p>
        </w:tc>
        <w:tc>
          <w:tcPr>
            <w:tcW w:type="dxa" w:w="6560"/>
            <w:vAlign w:val="center"/>
          </w:tcPr>
          <w:p>
            <w:pPr>
              <w:spacing w:before="20" w:after="40" w:line="252" w:lineRule="auto"/>
            </w:pPr>
            <w:r>
              <w:rPr>
                <w:rFonts w:ascii="Microsoft YaHei" w:hAnsi="Microsoft YaHei" w:eastAsia="Microsoft YaHei"/>
                <w:color w:val="1F2933"/>
                <w:sz w:val="17"/>
              </w:rPr>
              <w:t>所有放置均不越界、不重叠；失败操作保持操作前状态。</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INV-05</w:t>
            </w:r>
          </w:p>
        </w:tc>
        <w:tc>
          <w:tcPr>
            <w:tcW w:type="dxa" w:w="1700"/>
            <w:vAlign w:val="center"/>
          </w:tcPr>
          <w:p>
            <w:pPr>
              <w:spacing w:before="20" w:after="40" w:line="252" w:lineRule="auto"/>
            </w:pPr>
            <w:r>
              <w:rPr>
                <w:rFonts w:ascii="Microsoft YaHei" w:hAnsi="Microsoft YaHei" w:eastAsia="Microsoft YaHei"/>
                <w:color w:val="1F2933"/>
                <w:sz w:val="17"/>
              </w:rPr>
              <w:t>形状一致</w:t>
            </w:r>
          </w:p>
        </w:tc>
        <w:tc>
          <w:tcPr>
            <w:tcW w:type="dxa" w:w="6560"/>
            <w:vAlign w:val="center"/>
          </w:tcPr>
          <w:p>
            <w:r>
              <w:t>未知遮罩完整占格、物品定义尺寸、旋转后占格、GridSize配置与实际碰撞校验必须一致；同尺寸未知物品视觉一致。</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INV-06</w:t>
            </w:r>
          </w:p>
        </w:tc>
        <w:tc>
          <w:tcPr>
            <w:tcW w:type="dxa" w:w="1700"/>
            <w:vAlign w:val="center"/>
          </w:tcPr>
          <w:p>
            <w:pPr>
              <w:spacing w:before="20" w:after="40" w:line="252" w:lineRule="auto"/>
            </w:pPr>
            <w:r>
              <w:rPr>
                <w:rFonts w:ascii="Microsoft YaHei" w:hAnsi="Microsoft YaHei" w:eastAsia="Microsoft YaHei"/>
                <w:color w:val="1F2933"/>
                <w:sz w:val="17"/>
              </w:rPr>
              <w:t>容器计数幂等</w:t>
            </w:r>
          </w:p>
        </w:tc>
        <w:tc>
          <w:tcPr>
            <w:tcW w:type="dxa" w:w="6560"/>
            <w:vAlign w:val="center"/>
          </w:tcPr>
          <w:p>
            <w:pPr>
              <w:spacing w:before="20" w:after="40" w:line="252" w:lineRule="auto"/>
            </w:pPr>
            <w:r>
              <w:rPr>
                <w:rFonts w:ascii="Microsoft YaHei" w:hAnsi="Microsoft YaHei" w:eastAsia="Microsoft YaHei"/>
                <w:color w:val="1F2933"/>
                <w:sz w:val="17"/>
              </w:rPr>
              <w:t>同一容器最多贡献一次完成计数。</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INV-07</w:t>
            </w:r>
          </w:p>
        </w:tc>
        <w:tc>
          <w:tcPr>
            <w:tcW w:type="dxa" w:w="1700"/>
            <w:vAlign w:val="center"/>
          </w:tcPr>
          <w:p>
            <w:pPr>
              <w:spacing w:before="20" w:after="40" w:line="252" w:lineRule="auto"/>
            </w:pPr>
            <w:r>
              <w:rPr>
                <w:rFonts w:ascii="Microsoft YaHei" w:hAnsi="Microsoft YaHei" w:eastAsia="Microsoft YaHei"/>
                <w:color w:val="1F2933"/>
                <w:sz w:val="17"/>
              </w:rPr>
              <w:t>撤离门槛</w:t>
            </w:r>
          </w:p>
        </w:tc>
        <w:tc>
          <w:tcPr>
            <w:tcW w:type="dxa" w:w="6560"/>
            <w:vAlign w:val="center"/>
          </w:tcPr>
          <w:p>
            <w:pPr>
              <w:spacing w:before="20" w:after="40" w:line="252" w:lineRule="auto"/>
            </w:pPr>
            <w:r>
              <w:rPr>
                <w:rFonts w:ascii="Microsoft YaHei" w:hAnsi="Microsoft YaHei" w:eastAsia="Microsoft YaHei"/>
                <w:color w:val="1F2933"/>
                <w:sz w:val="17"/>
              </w:rPr>
              <w:t>completedContainerCount&lt;5 时不可进入 EXTRACTING。</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INV-08</w:t>
            </w:r>
          </w:p>
        </w:tc>
        <w:tc>
          <w:tcPr>
            <w:tcW w:type="dxa" w:w="1700"/>
            <w:vAlign w:val="center"/>
          </w:tcPr>
          <w:p>
            <w:pPr>
              <w:spacing w:before="20" w:after="40" w:line="252" w:lineRule="auto"/>
            </w:pPr>
            <w:r>
              <w:rPr>
                <w:rFonts w:ascii="Microsoft YaHei" w:hAnsi="Microsoft YaHei" w:eastAsia="Microsoft YaHei"/>
                <w:color w:val="1F2933"/>
                <w:sz w:val="17"/>
              </w:rPr>
              <w:t>计时并行</w:t>
            </w:r>
          </w:p>
        </w:tc>
        <w:tc>
          <w:tcPr>
            <w:tcW w:type="dxa" w:w="6560"/>
            <w:vAlign w:val="center"/>
          </w:tcPr>
          <w:p>
            <w:pPr>
              <w:spacing w:before="20" w:after="40" w:line="252" w:lineRule="auto"/>
            </w:pPr>
            <w:r>
              <w:rPr>
                <w:rFonts w:ascii="Microsoft YaHei" w:hAnsi="Microsoft YaHei" w:eastAsia="Microsoft YaHei"/>
                <w:color w:val="1F2933"/>
                <w:sz w:val="17"/>
              </w:rPr>
              <w:t>EXTRACTING 中两个计时器都推进；不得暂停总时间。</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INV-09</w:t>
            </w:r>
          </w:p>
        </w:tc>
        <w:tc>
          <w:tcPr>
            <w:tcW w:type="dxa" w:w="1700"/>
            <w:vAlign w:val="center"/>
          </w:tcPr>
          <w:p>
            <w:pPr>
              <w:spacing w:before="20" w:after="40" w:line="252" w:lineRule="auto"/>
            </w:pPr>
            <w:r>
              <w:rPr>
                <w:rFonts w:ascii="Microsoft YaHei" w:hAnsi="Microsoft YaHei" w:eastAsia="Microsoft YaHei"/>
                <w:color w:val="1F2933"/>
                <w:sz w:val="17"/>
              </w:rPr>
              <w:t>结算幂等</w:t>
            </w:r>
          </w:p>
        </w:tc>
        <w:tc>
          <w:tcPr>
            <w:tcW w:type="dxa" w:w="6560"/>
            <w:vAlign w:val="center"/>
          </w:tcPr>
          <w:p>
            <w:pPr>
              <w:spacing w:before="20" w:after="40" w:line="252" w:lineRule="auto"/>
            </w:pPr>
            <w:r>
              <w:rPr>
                <w:rFonts w:ascii="Microsoft YaHei" w:hAnsi="Microsoft YaHei" w:eastAsia="Microsoft YaHei"/>
                <w:color w:val="1F2933"/>
                <w:sz w:val="17"/>
              </w:rPr>
              <w:t>同一 runId 最多产生一次有效结算。</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INV-10</w:t>
            </w:r>
          </w:p>
        </w:tc>
        <w:tc>
          <w:tcPr>
            <w:tcW w:type="dxa" w:w="1700"/>
            <w:vAlign w:val="center"/>
          </w:tcPr>
          <w:p>
            <w:pPr>
              <w:spacing w:before="20" w:after="40" w:line="252" w:lineRule="auto"/>
            </w:pPr>
            <w:r>
              <w:rPr>
                <w:rFonts w:ascii="Microsoft YaHei" w:hAnsi="Microsoft YaHei" w:eastAsia="Microsoft YaHei"/>
                <w:color w:val="1F2933"/>
                <w:sz w:val="17"/>
              </w:rPr>
              <w:t>成功保留</w:t>
            </w:r>
          </w:p>
        </w:tc>
        <w:tc>
          <w:tcPr>
            <w:tcW w:type="dxa" w:w="6560"/>
            <w:vAlign w:val="center"/>
          </w:tcPr>
          <w:p>
            <w:pPr>
              <w:spacing w:before="20" w:after="40" w:line="252" w:lineRule="auto"/>
            </w:pPr>
            <w:r>
              <w:rPr>
                <w:rFonts w:ascii="Microsoft YaHei" w:hAnsi="Microsoft YaHei" w:eastAsia="Microsoft YaHei"/>
                <w:color w:val="1F2933"/>
                <w:sz w:val="17"/>
              </w:rPr>
              <w:t>成功结果 = 背包物品 ∪ 安全箱物品，且无重复。</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INV-11</w:t>
            </w:r>
          </w:p>
        </w:tc>
        <w:tc>
          <w:tcPr>
            <w:tcW w:type="dxa" w:w="1700"/>
            <w:vAlign w:val="center"/>
          </w:tcPr>
          <w:p>
            <w:pPr>
              <w:spacing w:before="20" w:after="40" w:line="252" w:lineRule="auto"/>
            </w:pPr>
            <w:r>
              <w:rPr>
                <w:rFonts w:ascii="Microsoft YaHei" w:hAnsi="Microsoft YaHei" w:eastAsia="Microsoft YaHei"/>
                <w:color w:val="1F2933"/>
                <w:sz w:val="17"/>
              </w:rPr>
              <w:t>失败保留</w:t>
            </w:r>
          </w:p>
        </w:tc>
        <w:tc>
          <w:tcPr>
            <w:tcW w:type="dxa" w:w="6560"/>
            <w:vAlign w:val="center"/>
          </w:tcPr>
          <w:p>
            <w:pPr>
              <w:spacing w:before="20" w:after="40" w:line="252" w:lineRule="auto"/>
            </w:pPr>
            <w:r>
              <w:rPr>
                <w:rFonts w:ascii="Microsoft YaHei" w:hAnsi="Microsoft YaHei" w:eastAsia="Microsoft YaHei"/>
                <w:color w:val="1F2933"/>
                <w:sz w:val="17"/>
              </w:rPr>
              <w:t>失败结果 = 安全箱物品；背包物品不进入仓库。</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INV-12</w:t>
            </w:r>
          </w:p>
        </w:tc>
        <w:tc>
          <w:tcPr>
            <w:tcW w:type="dxa" w:w="1700"/>
            <w:vAlign w:val="center"/>
          </w:tcPr>
          <w:p>
            <w:pPr>
              <w:spacing w:before="20" w:after="40" w:line="252" w:lineRule="auto"/>
            </w:pPr>
            <w:r>
              <w:rPr>
                <w:rFonts w:ascii="Microsoft YaHei" w:hAnsi="Microsoft YaHei" w:eastAsia="Microsoft YaHei"/>
                <w:color w:val="1F2933"/>
                <w:sz w:val="17"/>
              </w:rPr>
              <w:t>货币守恒</w:t>
            </w:r>
          </w:p>
        </w:tc>
        <w:tc>
          <w:tcPr>
            <w:tcW w:type="dxa" w:w="6560"/>
            <w:vAlign w:val="center"/>
          </w:tcPr>
          <w:p>
            <w:pPr>
              <w:spacing w:before="20" w:after="40" w:line="252" w:lineRule="auto"/>
            </w:pPr>
            <w:r>
              <w:rPr>
                <w:rFonts w:ascii="Microsoft YaHei" w:hAnsi="Microsoft YaHei" w:eastAsia="Microsoft YaHei"/>
                <w:color w:val="1F2933"/>
                <w:sz w:val="17"/>
              </w:rPr>
              <w:t>购买只减少已确认价格；出售只增加已确认售价；失败事务不得改变余额。</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INV-13</w:t>
            </w:r>
          </w:p>
        </w:tc>
        <w:tc>
          <w:tcPr>
            <w:tcW w:type="dxa" w:w="1700"/>
            <w:vAlign w:val="center"/>
          </w:tcPr>
          <w:p>
            <w:pPr>
              <w:spacing w:before="20" w:after="40" w:line="252" w:lineRule="auto"/>
            </w:pPr>
            <w:r>
              <w:rPr>
                <w:rFonts w:ascii="Microsoft YaHei" w:hAnsi="Microsoft YaHei" w:eastAsia="Microsoft YaHei"/>
                <w:color w:val="1F2933"/>
                <w:sz w:val="17"/>
              </w:rPr>
              <w:t>局内外隔离</w:t>
            </w:r>
          </w:p>
        </w:tc>
        <w:tc>
          <w:tcPr>
            <w:tcW w:type="dxa" w:w="6560"/>
            <w:vAlign w:val="center"/>
          </w:tcPr>
          <w:p>
            <w:pPr>
              <w:spacing w:before="20" w:after="40" w:line="252" w:lineRule="auto"/>
            </w:pPr>
            <w:r>
              <w:rPr>
                <w:rFonts w:ascii="Microsoft YaHei" w:hAnsi="Microsoft YaHei" w:eastAsia="Microsoft YaHei"/>
                <w:color w:val="1F2933"/>
                <w:sz w:val="17"/>
              </w:rPr>
              <w:t>未结算的局内物品不得提前进入仓库。</w:t>
            </w:r>
          </w:p>
        </w:tc>
      </w:tr>
      <w:tr>
        <w:trPr>
          <w:cantSplit/>
        </w:trPr>
        <w:tc>
          <w:tcPr>
            <w:tcW w:type="dxa" w:w="1100"/>
            <w:vAlign w:val="center"/>
          </w:tcPr>
          <w:p>
            <w:pPr>
              <w:spacing w:before="20" w:after="40" w:line="252" w:lineRule="auto"/>
            </w:pPr>
            <w:r>
              <w:rPr>
                <w:rFonts w:ascii="Microsoft YaHei" w:hAnsi="Microsoft YaHei" w:eastAsia="Microsoft YaHei"/>
                <w:color w:val="1F2933"/>
                <w:sz w:val="17"/>
              </w:rPr>
              <w:t>INV-14</w:t>
            </w:r>
          </w:p>
        </w:tc>
        <w:tc>
          <w:tcPr>
            <w:tcW w:type="dxa" w:w="1700"/>
            <w:vAlign w:val="center"/>
          </w:tcPr>
          <w:p>
            <w:pPr>
              <w:spacing w:before="20" w:after="40" w:line="252" w:lineRule="auto"/>
            </w:pPr>
            <w:r>
              <w:rPr>
                <w:rFonts w:ascii="Microsoft YaHei" w:hAnsi="Microsoft YaHei" w:eastAsia="Microsoft YaHei"/>
                <w:color w:val="1F2933"/>
                <w:sz w:val="17"/>
              </w:rPr>
              <w:t>多局隔离</w:t>
            </w:r>
          </w:p>
        </w:tc>
        <w:tc>
          <w:tcPr>
            <w:tcW w:type="dxa" w:w="6560"/>
            <w:vAlign w:val="center"/>
          </w:tcPr>
          <w:p>
            <w:pPr>
              <w:spacing w:before="20" w:after="40" w:line="252" w:lineRule="auto"/>
            </w:pPr>
            <w:r>
              <w:rPr>
                <w:rFonts w:ascii="Microsoft YaHei" w:hAnsi="Microsoft YaHei" w:eastAsia="Microsoft YaHei"/>
                <w:color w:val="1F2933"/>
                <w:sz w:val="17"/>
              </w:rPr>
              <w:t>新 Run 使用新 runId，且不得继承上局临时计时、搜索或撤离状态。</w:t>
            </w:r>
          </w:p>
        </w:tc>
      </w:tr>
      <w:tr>
        <w:tc>
          <w:tcPr>
            <w:tcW w:type="dxa" w:w="1100"/>
            <w:vAlign w:val="center"/>
          </w:tcPr>
          <w:p>
            <w:r>
              <w:t>INV-15</w:t>
            </w:r>
          </w:p>
        </w:tc>
        <w:tc>
          <w:tcPr>
            <w:tcW w:type="dxa" w:w="1700"/>
            <w:vAlign w:val="center"/>
          </w:tcPr>
          <w:p>
            <w:r>
              <w:t>Tier与尺寸解耦</w:t>
            </w:r>
          </w:p>
        </w:tc>
        <w:tc>
          <w:tcPr>
            <w:tcW w:type="dxa" w:w="6560"/>
            <w:vAlign w:val="center"/>
          </w:tcPr>
          <w:p>
            <w:r>
              <w:t>ContainerTier只决定品质权重；ContainerType独立配置tier/gridWidth/gridHeight，核心算法不得硬编码Tier→GridSize。</w:t>
            </w:r>
          </w:p>
        </w:tc>
      </w:tr>
      <w:tr>
        <w:tc>
          <w:tcPr>
            <w:tcW w:type="dxa" w:w="1100"/>
            <w:vAlign w:val="center"/>
          </w:tcPr>
          <w:p>
            <w:r>
              <w:t>INV-16</w:t>
            </w:r>
          </w:p>
        </w:tc>
        <w:tc>
          <w:tcPr>
            <w:tcW w:type="dxa" w:w="1700"/>
            <w:vAlign w:val="center"/>
          </w:tcPr>
          <w:p>
            <w:r>
              <w:t>配置单一来源</w:t>
            </w:r>
          </w:p>
        </w:tc>
        <w:tc>
          <w:tcPr>
            <w:tcW w:type="dxa" w:w="6560"/>
            <w:vAlign w:val="center"/>
          </w:tcPr>
          <w:p>
            <w:r>
              <w:t>暂定与测试参数只有一个权威配置来源；修改参数不得要求改动核心算法或UI。</w:t>
            </w:r>
          </w:p>
        </w:tc>
      </w:tr>
    </w:tbl>
    <w:p>
      <w:pPr>
        <w:spacing w:after="0"/>
      </w:pPr>
    </w:p>
    <w:p>
      <w:pPr>
        <w:pStyle w:val="Heading2"/>
        <w:keepNext/>
      </w:pPr>
      <w:r>
        <w:t>6.4 错误处理与可诊断性</w:t>
      </w:r>
    </w:p>
    <w:p>
      <w:pPr>
        <w:pStyle w:val="ListBullet"/>
      </w:pPr>
      <w:r>
        <w:rPr>
          <w:rFonts w:ascii="Microsoft YaHei" w:hAnsi="Microsoft YaHei" w:eastAsia="Microsoft YaHei"/>
          <w:color w:val="1F2933"/>
        </w:rPr>
        <w:t>关键事务失败时 MUST 显式失败并保留一致状态；MUST NOT 静默继续。</w:t>
      </w:r>
    </w:p>
    <w:p>
      <w:pPr>
        <w:pStyle w:val="ListBullet"/>
      </w:pPr>
      <w:r>
        <w:rPr>
          <w:rFonts w:ascii="Microsoft YaHei" w:hAnsi="Microsoft YaHei" w:eastAsia="Microsoft YaHei"/>
          <w:color w:val="1F2933"/>
        </w:rPr>
        <w:t>至少 SHOULD 记录 runId、transactionId、状态转换、容器完成计数、结算结果、物品实例移动与货币变化，以便重现错误。</w:t>
      </w:r>
    </w:p>
    <w:p>
      <w:pPr>
        <w:pStyle w:val="ListBullet"/>
      </w:pPr>
      <w:r>
        <w:rPr>
          <w:rFonts w:ascii="Microsoft YaHei" w:hAnsi="Microsoft YaHei" w:eastAsia="Microsoft YaHei"/>
          <w:color w:val="1F2933"/>
        </w:rPr>
        <w:t>日志 MUST NOT 成为产品规则来源；日志开关不得改变计时、随机或结算行为。</w:t>
      </w:r>
    </w:p>
    <w:p>
      <w:r>
        <w:br w:type="page"/>
      </w:r>
    </w:p>
    <w:p>
      <w:pPr>
        <w:pStyle w:val="Heading1"/>
        <w:keepNext/>
      </w:pPr>
      <w:r>
        <w:t>7. 功能验收标准</w:t>
      </w:r>
    </w:p>
    <w:p>
      <w:pPr>
        <w:keepLines w:val="0"/>
      </w:pPr>
      <w:r>
        <w:rPr>
          <w:rFonts w:ascii="Microsoft YaHei" w:hAnsi="Microsoft YaHei" w:eastAsia="Microsoft YaHei"/>
          <w:color w:val="1F2933"/>
        </w:rPr>
        <w:t>以下标准均为 V0.1 必须通过的工程验收。测试数据可以是临时配置，但不得绕过正式逻辑。</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900"/>
        <w:gridCol w:w="1500"/>
        <w:gridCol w:w="4400"/>
        <w:gridCol w:w="2560"/>
      </w:tblGrid>
      <w:tr>
        <w:trPr>
          <w:tblHeader w:val="true"/>
          <w:cantSplit/>
        </w:trPr>
        <w:tc>
          <w:tcPr>
            <w:tcW w:type="dxa" w:w="9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6"/>
              </w:rPr>
              <w:t>ID</w:t>
            </w:r>
          </w:p>
        </w:tc>
        <w:tc>
          <w:tcPr>
            <w:tcW w:type="dxa" w:w="15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6"/>
              </w:rPr>
              <w:t>模块</w:t>
            </w:r>
          </w:p>
        </w:tc>
        <w:tc>
          <w:tcPr>
            <w:tcW w:type="dxa" w:w="44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6"/>
              </w:rPr>
              <w:t>通过条件</w:t>
            </w:r>
          </w:p>
        </w:tc>
        <w:tc>
          <w:tcPr>
            <w:tcW w:type="dxa" w:w="25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6"/>
              </w:rPr>
              <w:t>最低覆盖</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AC-01</w:t>
            </w:r>
          </w:p>
        </w:tc>
        <w:tc>
          <w:tcPr>
            <w:tcW w:type="dxa" w:w="1500"/>
            <w:vAlign w:val="center"/>
          </w:tcPr>
          <w:p>
            <w:pPr>
              <w:spacing w:before="20" w:after="40" w:line="252" w:lineRule="auto"/>
            </w:pPr>
            <w:r>
              <w:rPr>
                <w:rFonts w:ascii="Microsoft YaHei" w:hAnsi="Microsoft YaHei" w:eastAsia="Microsoft YaHei"/>
                <w:color w:val="1F2933"/>
                <w:sz w:val="16"/>
              </w:rPr>
              <w:t>启动与局外</w:t>
            </w:r>
          </w:p>
        </w:tc>
        <w:tc>
          <w:tcPr>
            <w:tcW w:type="dxa" w:w="4400"/>
            <w:vAlign w:val="center"/>
          </w:tcPr>
          <w:p>
            <w:pPr>
              <w:spacing w:before="20" w:after="40" w:line="252" w:lineRule="auto"/>
            </w:pPr>
            <w:r>
              <w:rPr>
                <w:rFonts w:ascii="Microsoft YaHei" w:hAnsi="Microsoft YaHei" w:eastAsia="Microsoft YaHei"/>
                <w:color w:val="1F2933"/>
                <w:sz w:val="16"/>
              </w:rPr>
              <w:t>无需开发者临时改代码即可启动并进入局外；仓库、货币、开始入口可用。</w:t>
            </w:r>
          </w:p>
        </w:tc>
        <w:tc>
          <w:tcPr>
            <w:tcW w:type="dxa" w:w="2560"/>
            <w:vAlign w:val="center"/>
          </w:tcPr>
          <w:p>
            <w:pPr>
              <w:spacing w:before="20" w:after="40" w:line="252" w:lineRule="auto"/>
            </w:pPr>
            <w:r>
              <w:rPr>
                <w:rFonts w:ascii="Microsoft YaHei" w:hAnsi="Microsoft YaHei" w:eastAsia="Microsoft YaHei"/>
                <w:color w:val="1F2933"/>
                <w:sz w:val="16"/>
              </w:rPr>
              <w:t>正常启动；缺配置时可见失败且不污染数据。</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AC-02</w:t>
            </w:r>
          </w:p>
        </w:tc>
        <w:tc>
          <w:tcPr>
            <w:tcW w:type="dxa" w:w="1500"/>
            <w:vAlign w:val="center"/>
          </w:tcPr>
          <w:p>
            <w:pPr>
              <w:spacing w:before="20" w:after="40" w:line="252" w:lineRule="auto"/>
            </w:pPr>
            <w:r>
              <w:rPr>
                <w:rFonts w:ascii="Microsoft YaHei" w:hAnsi="Microsoft YaHei" w:eastAsia="Microsoft YaHei"/>
                <w:color w:val="1F2933"/>
                <w:sz w:val="16"/>
              </w:rPr>
              <w:t>背包购买/选择</w:t>
            </w:r>
          </w:p>
        </w:tc>
        <w:tc>
          <w:tcPr>
            <w:tcW w:type="dxa" w:w="4400"/>
            <w:vAlign w:val="center"/>
          </w:tcPr>
          <w:p>
            <w:pPr>
              <w:spacing w:before="20" w:after="40" w:line="252" w:lineRule="auto"/>
            </w:pPr>
            <w:r>
              <w:rPr>
                <w:rFonts w:ascii="Microsoft YaHei" w:hAnsi="Microsoft YaHei" w:eastAsia="Microsoft YaHei"/>
                <w:color w:val="1F2933"/>
                <w:sz w:val="16"/>
              </w:rPr>
              <w:t>确认入场时校验价格、正确扣款并绑定本局背包；余额不足时不得负数或入场。</w:t>
            </w:r>
          </w:p>
        </w:tc>
        <w:tc>
          <w:tcPr>
            <w:tcW w:type="dxa" w:w="2560"/>
            <w:vAlign w:val="center"/>
          </w:tcPr>
          <w:p>
            <w:pPr>
              <w:spacing w:before="20" w:after="40" w:line="252" w:lineRule="auto"/>
            </w:pPr>
            <w:r>
              <w:rPr>
                <w:rFonts w:ascii="Microsoft YaHei" w:hAnsi="Microsoft YaHei" w:eastAsia="Microsoft YaHei"/>
                <w:color w:val="1F2933"/>
                <w:sz w:val="16"/>
              </w:rPr>
              <w:t>足额、刚好足额、余额不足、重复确认。</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AC-03</w:t>
            </w:r>
          </w:p>
        </w:tc>
        <w:tc>
          <w:tcPr>
            <w:tcW w:type="dxa" w:w="1500"/>
            <w:vAlign w:val="center"/>
          </w:tcPr>
          <w:p>
            <w:pPr>
              <w:spacing w:before="20" w:after="40" w:line="252" w:lineRule="auto"/>
            </w:pPr>
            <w:r>
              <w:rPr>
                <w:rFonts w:ascii="Microsoft YaHei" w:hAnsi="Microsoft YaHei" w:eastAsia="Microsoft YaHei"/>
                <w:color w:val="1F2933"/>
                <w:sz w:val="16"/>
              </w:rPr>
              <w:t>对局初始化</w:t>
            </w:r>
          </w:p>
        </w:tc>
        <w:tc>
          <w:tcPr>
            <w:tcW w:type="dxa" w:w="4400"/>
            <w:vAlign w:val="center"/>
          </w:tcPr>
          <w:p>
            <w:pPr>
              <w:spacing w:before="20" w:after="40" w:line="252" w:lineRule="auto"/>
            </w:pPr>
            <w:r>
              <w:rPr>
                <w:rFonts w:ascii="Microsoft YaHei" w:hAnsi="Microsoft YaHei" w:eastAsia="Microsoft YaHei"/>
                <w:color w:val="1F2933"/>
                <w:sz w:val="16"/>
              </w:rPr>
              <w:t>新 Run 初始化为 180 秒，完成数为0，撤离锁定，settled=false。</w:t>
            </w:r>
          </w:p>
        </w:tc>
        <w:tc>
          <w:tcPr>
            <w:tcW w:type="dxa" w:w="2560"/>
            <w:vAlign w:val="center"/>
          </w:tcPr>
          <w:p>
            <w:pPr>
              <w:spacing w:before="20" w:after="40" w:line="252" w:lineRule="auto"/>
            </w:pPr>
            <w:r>
              <w:rPr>
                <w:rFonts w:ascii="Microsoft YaHei" w:hAnsi="Microsoft YaHei" w:eastAsia="Microsoft YaHei"/>
                <w:color w:val="1F2933"/>
                <w:sz w:val="16"/>
              </w:rPr>
              <w:t>连续创建至少3局，状态互不污染。</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AC-04</w:t>
            </w:r>
          </w:p>
        </w:tc>
        <w:tc>
          <w:tcPr>
            <w:tcW w:type="dxa" w:w="1500"/>
            <w:vAlign w:val="center"/>
          </w:tcPr>
          <w:p>
            <w:pPr>
              <w:spacing w:before="20" w:after="40" w:line="252" w:lineRule="auto"/>
            </w:pPr>
            <w:r>
              <w:rPr>
                <w:rFonts w:ascii="Microsoft YaHei" w:hAnsi="Microsoft YaHei" w:eastAsia="Microsoft YaHei"/>
                <w:color w:val="1F2933"/>
                <w:sz w:val="16"/>
              </w:rPr>
              <w:t>遮罩</w:t>
            </w:r>
          </w:p>
        </w:tc>
        <w:tc>
          <w:tcPr>
            <w:tcW w:type="dxa" w:w="4400"/>
            <w:vAlign w:val="center"/>
          </w:tcPr>
          <w:p>
            <w:r>
              <w:t>打开容器先看到正确数量与当前方向完整占格；同尺寸一致；不使用剪影且不泄露名称/类别/品质/价值。</w:t>
            </w:r>
          </w:p>
        </w:tc>
        <w:tc>
          <w:tcPr>
            <w:tcW w:type="dxa" w:w="2560"/>
            <w:vAlign w:val="center"/>
          </w:tcPr>
          <w:p>
            <w:pPr>
              <w:spacing w:before="20" w:after="40" w:line="252" w:lineRule="auto"/>
            </w:pPr>
            <w:r>
              <w:rPr>
                <w:rFonts w:ascii="Microsoft YaHei" w:hAnsi="Microsoft YaHei" w:eastAsia="Microsoft YaHei"/>
                <w:color w:val="1F2933"/>
                <w:sz w:val="16"/>
              </w:rPr>
              <w:t>多种数量、不同宽高与旋转定义。</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AC-05</w:t>
            </w:r>
          </w:p>
        </w:tc>
        <w:tc>
          <w:tcPr>
            <w:tcW w:type="dxa" w:w="1500"/>
            <w:vAlign w:val="center"/>
          </w:tcPr>
          <w:p>
            <w:pPr>
              <w:spacing w:before="20" w:after="40" w:line="252" w:lineRule="auto"/>
            </w:pPr>
            <w:r>
              <w:rPr>
                <w:rFonts w:ascii="Microsoft YaHei" w:hAnsi="Microsoft YaHei" w:eastAsia="Microsoft YaHei"/>
                <w:color w:val="1F2933"/>
                <w:sz w:val="16"/>
              </w:rPr>
              <w:t>逐件揭晓</w:t>
            </w:r>
          </w:p>
        </w:tc>
        <w:tc>
          <w:tcPr>
            <w:tcW w:type="dxa" w:w="4400"/>
            <w:vAlign w:val="center"/>
          </w:tcPr>
          <w:p>
            <w:r>
              <w:t>物品逐件揭晓；搜索等待时间分别为0.5/1/2/3/5秒；等待结束后以约250～400ms基础翻转显示正面信息。</w:t>
            </w:r>
          </w:p>
        </w:tc>
        <w:tc>
          <w:tcPr>
            <w:tcW w:type="dxa" w:w="2560"/>
            <w:vAlign w:val="center"/>
          </w:tcPr>
          <w:p>
            <w:pPr>
              <w:spacing w:before="20" w:after="40" w:line="252" w:lineRule="auto"/>
            </w:pPr>
            <w:r>
              <w:rPr>
                <w:rFonts w:ascii="Microsoft YaHei" w:hAnsi="Microsoft YaHei" w:eastAsia="Microsoft YaHei"/>
                <w:color w:val="1F2933"/>
                <w:sz w:val="16"/>
              </w:rPr>
              <w:t>五种品质各至少1件；帧率波动下不重复揭晓。</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AC-06</w:t>
            </w:r>
          </w:p>
        </w:tc>
        <w:tc>
          <w:tcPr>
            <w:tcW w:type="dxa" w:w="1500"/>
            <w:vAlign w:val="center"/>
          </w:tcPr>
          <w:p>
            <w:pPr>
              <w:spacing w:before="20" w:after="40" w:line="252" w:lineRule="auto"/>
            </w:pPr>
            <w:r>
              <w:rPr>
                <w:rFonts w:ascii="Microsoft YaHei" w:hAnsi="Microsoft YaHei" w:eastAsia="Microsoft YaHei"/>
                <w:color w:val="1F2933"/>
                <w:sz w:val="16"/>
              </w:rPr>
              <w:t>容器完成计数</w:t>
            </w:r>
          </w:p>
        </w:tc>
        <w:tc>
          <w:tcPr>
            <w:tcW w:type="dxa" w:w="4400"/>
            <w:vAlign w:val="center"/>
          </w:tcPr>
          <w:p>
            <w:pPr>
              <w:spacing w:before="20" w:after="40" w:line="252" w:lineRule="auto"/>
            </w:pPr>
            <w:r>
              <w:rPr>
                <w:rFonts w:ascii="Microsoft YaHei" w:hAnsi="Microsoft YaHei" w:eastAsia="Microsoft YaHei"/>
                <w:color w:val="1F2933"/>
                <w:sz w:val="16"/>
              </w:rPr>
              <w:t>容器完成时仅+1；重复打开/触发不重复；第5个完成时撤离解锁。</w:t>
            </w:r>
          </w:p>
        </w:tc>
        <w:tc>
          <w:tcPr>
            <w:tcW w:type="dxa" w:w="2560"/>
            <w:vAlign w:val="center"/>
          </w:tcPr>
          <w:p>
            <w:pPr>
              <w:spacing w:before="20" w:after="40" w:line="252" w:lineRule="auto"/>
            </w:pPr>
            <w:r>
              <w:rPr>
                <w:rFonts w:ascii="Microsoft YaHei" w:hAnsi="Microsoft YaHei" w:eastAsia="Microsoft YaHei"/>
                <w:color w:val="1F2933"/>
                <w:sz w:val="16"/>
              </w:rPr>
              <w:t>第4/第5/第6个容器；重复事件。</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AC-07</w:t>
            </w:r>
          </w:p>
        </w:tc>
        <w:tc>
          <w:tcPr>
            <w:tcW w:type="dxa" w:w="1500"/>
            <w:vAlign w:val="center"/>
          </w:tcPr>
          <w:p>
            <w:pPr>
              <w:spacing w:before="20" w:after="40" w:line="252" w:lineRule="auto"/>
            </w:pPr>
            <w:r>
              <w:rPr>
                <w:rFonts w:ascii="Microsoft YaHei" w:hAnsi="Microsoft YaHei" w:eastAsia="Microsoft YaHei"/>
                <w:color w:val="1F2933"/>
                <w:sz w:val="16"/>
              </w:rPr>
              <w:t>格子合法性</w:t>
            </w:r>
          </w:p>
        </w:tc>
        <w:tc>
          <w:tcPr>
            <w:tcW w:type="dxa" w:w="4400"/>
            <w:vAlign w:val="center"/>
          </w:tcPr>
          <w:p>
            <w:pPr>
              <w:spacing w:before="20" w:after="40" w:line="252" w:lineRule="auto"/>
            </w:pPr>
            <w:r>
              <w:rPr>
                <w:rFonts w:ascii="Microsoft YaHei" w:hAnsi="Microsoft YaHei" w:eastAsia="Microsoft YaHei"/>
                <w:color w:val="1F2933"/>
                <w:sz w:val="16"/>
              </w:rPr>
              <w:t>拾取、拖拽、替换、丢弃、旋转可用；无越界、重叠、复制、误失。</w:t>
            </w:r>
          </w:p>
        </w:tc>
        <w:tc>
          <w:tcPr>
            <w:tcW w:type="dxa" w:w="2560"/>
            <w:vAlign w:val="center"/>
          </w:tcPr>
          <w:p>
            <w:pPr>
              <w:spacing w:before="20" w:after="40" w:line="252" w:lineRule="auto"/>
            </w:pPr>
            <w:r>
              <w:rPr>
                <w:rFonts w:ascii="Microsoft YaHei" w:hAnsi="Microsoft YaHei" w:eastAsia="Microsoft YaHei"/>
                <w:color w:val="1F2933"/>
                <w:sz w:val="16"/>
              </w:rPr>
              <w:t>边缘格、满包、非法旋转、失败替换、连续快速操作。</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AC-08</w:t>
            </w:r>
          </w:p>
        </w:tc>
        <w:tc>
          <w:tcPr>
            <w:tcW w:type="dxa" w:w="1500"/>
            <w:vAlign w:val="center"/>
          </w:tcPr>
          <w:p>
            <w:pPr>
              <w:spacing w:before="20" w:after="40" w:line="252" w:lineRule="auto"/>
            </w:pPr>
            <w:r>
              <w:rPr>
                <w:rFonts w:ascii="Microsoft YaHei" w:hAnsi="Microsoft YaHei" w:eastAsia="Microsoft YaHei"/>
                <w:color w:val="1F2933"/>
                <w:sz w:val="16"/>
              </w:rPr>
              <w:t>安全箱</w:t>
            </w:r>
          </w:p>
        </w:tc>
        <w:tc>
          <w:tcPr>
            <w:tcW w:type="dxa" w:w="4400"/>
            <w:vAlign w:val="center"/>
          </w:tcPr>
          <w:p>
            <w:pPr>
              <w:spacing w:before="20" w:after="40" w:line="252" w:lineRule="auto"/>
            </w:pPr>
            <w:r>
              <w:rPr>
                <w:rFonts w:ascii="Microsoft YaHei" w:hAnsi="Microsoft YaHei" w:eastAsia="Microsoft YaHei"/>
                <w:color w:val="1F2933"/>
                <w:sz w:val="16"/>
              </w:rPr>
              <w:t>物品可在合法情况下移入/移出；空间校验独立；失败结算保留。</w:t>
            </w:r>
          </w:p>
        </w:tc>
        <w:tc>
          <w:tcPr>
            <w:tcW w:type="dxa" w:w="2560"/>
            <w:vAlign w:val="center"/>
          </w:tcPr>
          <w:p>
            <w:pPr>
              <w:spacing w:before="20" w:after="40" w:line="252" w:lineRule="auto"/>
            </w:pPr>
            <w:r>
              <w:rPr>
                <w:rFonts w:ascii="Microsoft YaHei" w:hAnsi="Microsoft YaHei" w:eastAsia="Microsoft YaHei"/>
                <w:color w:val="1F2933"/>
                <w:sz w:val="16"/>
              </w:rPr>
              <w:t>背包↔安全箱↔容器往返；满箱。</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AC-09</w:t>
            </w:r>
          </w:p>
        </w:tc>
        <w:tc>
          <w:tcPr>
            <w:tcW w:type="dxa" w:w="1500"/>
            <w:vAlign w:val="center"/>
          </w:tcPr>
          <w:p>
            <w:pPr>
              <w:spacing w:before="20" w:after="40" w:line="252" w:lineRule="auto"/>
            </w:pPr>
            <w:r>
              <w:rPr>
                <w:rFonts w:ascii="Microsoft YaHei" w:hAnsi="Microsoft YaHei" w:eastAsia="Microsoft YaHei"/>
                <w:color w:val="1F2933"/>
                <w:sz w:val="16"/>
              </w:rPr>
              <w:t>撤离锁定</w:t>
            </w:r>
          </w:p>
        </w:tc>
        <w:tc>
          <w:tcPr>
            <w:tcW w:type="dxa" w:w="4400"/>
            <w:vAlign w:val="center"/>
          </w:tcPr>
          <w:p>
            <w:pPr>
              <w:spacing w:before="20" w:after="40" w:line="252" w:lineRule="auto"/>
            </w:pPr>
            <w:r>
              <w:rPr>
                <w:rFonts w:ascii="Microsoft YaHei" w:hAnsi="Microsoft YaHei" w:eastAsia="Microsoft YaHei"/>
                <w:color w:val="1F2933"/>
                <w:sz w:val="16"/>
              </w:rPr>
              <w:t>完成数&lt;5时撤离请求被拒绝；状态保持一致。</w:t>
            </w:r>
          </w:p>
        </w:tc>
        <w:tc>
          <w:tcPr>
            <w:tcW w:type="dxa" w:w="2560"/>
            <w:vAlign w:val="center"/>
          </w:tcPr>
          <w:p>
            <w:pPr>
              <w:spacing w:before="20" w:after="40" w:line="252" w:lineRule="auto"/>
            </w:pPr>
            <w:r>
              <w:rPr>
                <w:rFonts w:ascii="Microsoft YaHei" w:hAnsi="Microsoft YaHei" w:eastAsia="Microsoft YaHei"/>
                <w:color w:val="1F2933"/>
                <w:sz w:val="16"/>
              </w:rPr>
              <w:t>0～4个完成容器。</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AC-10</w:t>
            </w:r>
          </w:p>
        </w:tc>
        <w:tc>
          <w:tcPr>
            <w:tcW w:type="dxa" w:w="1500"/>
            <w:vAlign w:val="center"/>
          </w:tcPr>
          <w:p>
            <w:pPr>
              <w:spacing w:before="20" w:after="40" w:line="252" w:lineRule="auto"/>
            </w:pPr>
            <w:r>
              <w:rPr>
                <w:rFonts w:ascii="Microsoft YaHei" w:hAnsi="Microsoft YaHei" w:eastAsia="Microsoft YaHei"/>
                <w:color w:val="1F2933"/>
                <w:sz w:val="16"/>
              </w:rPr>
              <w:t>撤离计时</w:t>
            </w:r>
          </w:p>
        </w:tc>
        <w:tc>
          <w:tcPr>
            <w:tcW w:type="dxa" w:w="4400"/>
            <w:vAlign w:val="center"/>
          </w:tcPr>
          <w:p>
            <w:pPr>
              <w:spacing w:before="20" w:after="40" w:line="252" w:lineRule="auto"/>
            </w:pPr>
            <w:r>
              <w:rPr>
                <w:rFonts w:ascii="Microsoft YaHei" w:hAnsi="Microsoft YaHei" w:eastAsia="Microsoft YaHei"/>
                <w:color w:val="1F2933"/>
                <w:sz w:val="16"/>
              </w:rPr>
              <w:t>解锁后启动15秒读条；总时间继续减少；读条完成进入成功。</w:t>
            </w:r>
          </w:p>
        </w:tc>
        <w:tc>
          <w:tcPr>
            <w:tcW w:type="dxa" w:w="2560"/>
            <w:vAlign w:val="center"/>
          </w:tcPr>
          <w:p>
            <w:pPr>
              <w:spacing w:before="20" w:after="40" w:line="252" w:lineRule="auto"/>
            </w:pPr>
            <w:r>
              <w:rPr>
                <w:rFonts w:ascii="Microsoft YaHei" w:hAnsi="Microsoft YaHei" w:eastAsia="Microsoft YaHei"/>
                <w:color w:val="1F2933"/>
                <w:sz w:val="16"/>
              </w:rPr>
              <w:t>剩余时间充足；读条中继续刷新。</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AC-11</w:t>
            </w:r>
          </w:p>
        </w:tc>
        <w:tc>
          <w:tcPr>
            <w:tcW w:type="dxa" w:w="1500"/>
            <w:vAlign w:val="center"/>
          </w:tcPr>
          <w:p>
            <w:pPr>
              <w:spacing w:before="20" w:after="40" w:line="252" w:lineRule="auto"/>
            </w:pPr>
            <w:r>
              <w:rPr>
                <w:rFonts w:ascii="Microsoft YaHei" w:hAnsi="Microsoft YaHei" w:eastAsia="Microsoft YaHei"/>
                <w:color w:val="1F2933"/>
                <w:sz w:val="16"/>
              </w:rPr>
              <w:t>超时失败</w:t>
            </w:r>
          </w:p>
        </w:tc>
        <w:tc>
          <w:tcPr>
            <w:tcW w:type="dxa" w:w="4400"/>
            <w:vAlign w:val="center"/>
          </w:tcPr>
          <w:p>
            <w:pPr>
              <w:spacing w:before="20" w:after="40" w:line="252" w:lineRule="auto"/>
            </w:pPr>
            <w:r>
              <w:rPr>
                <w:rFonts w:ascii="Microsoft YaHei" w:hAnsi="Microsoft YaHei" w:eastAsia="Microsoft YaHei"/>
                <w:color w:val="1F2933"/>
                <w:sz w:val="16"/>
              </w:rPr>
              <w:t>总时间归零进入失败；未成功结算为成功。</w:t>
            </w:r>
          </w:p>
        </w:tc>
        <w:tc>
          <w:tcPr>
            <w:tcW w:type="dxa" w:w="2560"/>
            <w:vAlign w:val="center"/>
          </w:tcPr>
          <w:p>
            <w:pPr>
              <w:spacing w:before="20" w:after="40" w:line="252" w:lineRule="auto"/>
            </w:pPr>
            <w:r>
              <w:rPr>
                <w:rFonts w:ascii="Microsoft YaHei" w:hAnsi="Microsoft YaHei" w:eastAsia="Microsoft YaHei"/>
                <w:color w:val="1F2933"/>
                <w:sz w:val="16"/>
              </w:rPr>
              <w:t>未撤离；撤离中但总时间先归零。</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AC-12</w:t>
            </w:r>
          </w:p>
        </w:tc>
        <w:tc>
          <w:tcPr>
            <w:tcW w:type="dxa" w:w="1500"/>
            <w:vAlign w:val="center"/>
          </w:tcPr>
          <w:p>
            <w:pPr>
              <w:spacing w:before="20" w:after="40" w:line="252" w:lineRule="auto"/>
            </w:pPr>
            <w:r>
              <w:rPr>
                <w:rFonts w:ascii="Microsoft YaHei" w:hAnsi="Microsoft YaHei" w:eastAsia="Microsoft YaHei"/>
                <w:color w:val="1F2933"/>
                <w:sz w:val="16"/>
              </w:rPr>
              <w:t>成功结算</w:t>
            </w:r>
          </w:p>
        </w:tc>
        <w:tc>
          <w:tcPr>
            <w:tcW w:type="dxa" w:w="4400"/>
            <w:vAlign w:val="center"/>
          </w:tcPr>
          <w:p>
            <w:pPr>
              <w:spacing w:before="20" w:after="40" w:line="252" w:lineRule="auto"/>
            </w:pPr>
            <w:r>
              <w:rPr>
                <w:rFonts w:ascii="Microsoft YaHei" w:hAnsi="Microsoft YaHei" w:eastAsia="Microsoft YaHei"/>
                <w:color w:val="1F2933"/>
                <w:sz w:val="16"/>
              </w:rPr>
              <w:t>背包+安全箱物品各入库一次；局内临时状态关闭。</w:t>
            </w:r>
          </w:p>
        </w:tc>
        <w:tc>
          <w:tcPr>
            <w:tcW w:type="dxa" w:w="2560"/>
            <w:vAlign w:val="center"/>
          </w:tcPr>
          <w:p>
            <w:pPr>
              <w:spacing w:before="20" w:after="40" w:line="252" w:lineRule="auto"/>
            </w:pPr>
            <w:r>
              <w:rPr>
                <w:rFonts w:ascii="Microsoft YaHei" w:hAnsi="Microsoft YaHei" w:eastAsia="Microsoft YaHei"/>
                <w:color w:val="1F2933"/>
                <w:sz w:val="16"/>
              </w:rPr>
              <w:t>空背包、空安全箱、两者均有物品、重复确认。</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AC-13</w:t>
            </w:r>
          </w:p>
        </w:tc>
        <w:tc>
          <w:tcPr>
            <w:tcW w:type="dxa" w:w="1500"/>
            <w:vAlign w:val="center"/>
          </w:tcPr>
          <w:p>
            <w:pPr>
              <w:spacing w:before="20" w:after="40" w:line="252" w:lineRule="auto"/>
            </w:pPr>
            <w:r>
              <w:rPr>
                <w:rFonts w:ascii="Microsoft YaHei" w:hAnsi="Microsoft YaHei" w:eastAsia="Microsoft YaHei"/>
                <w:color w:val="1F2933"/>
                <w:sz w:val="16"/>
              </w:rPr>
              <w:t>失败结算</w:t>
            </w:r>
          </w:p>
        </w:tc>
        <w:tc>
          <w:tcPr>
            <w:tcW w:type="dxa" w:w="4400"/>
            <w:vAlign w:val="center"/>
          </w:tcPr>
          <w:p>
            <w:pPr>
              <w:spacing w:before="20" w:after="40" w:line="252" w:lineRule="auto"/>
            </w:pPr>
            <w:r>
              <w:rPr>
                <w:rFonts w:ascii="Microsoft YaHei" w:hAnsi="Microsoft YaHei" w:eastAsia="Microsoft YaHei"/>
                <w:color w:val="1F2933"/>
                <w:sz w:val="16"/>
              </w:rPr>
              <w:t>仅安全箱物品入库；背包物品销毁且不入库。</w:t>
            </w:r>
          </w:p>
        </w:tc>
        <w:tc>
          <w:tcPr>
            <w:tcW w:type="dxa" w:w="2560"/>
            <w:vAlign w:val="center"/>
          </w:tcPr>
          <w:p>
            <w:pPr>
              <w:spacing w:before="20" w:after="40" w:line="252" w:lineRule="auto"/>
            </w:pPr>
            <w:r>
              <w:rPr>
                <w:rFonts w:ascii="Microsoft YaHei" w:hAnsi="Microsoft YaHei" w:eastAsia="Microsoft YaHei"/>
                <w:color w:val="1F2933"/>
                <w:sz w:val="16"/>
              </w:rPr>
              <w:t>背包/安全箱混合；重复确认。</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AC-14</w:t>
            </w:r>
          </w:p>
        </w:tc>
        <w:tc>
          <w:tcPr>
            <w:tcW w:type="dxa" w:w="1500"/>
            <w:vAlign w:val="center"/>
          </w:tcPr>
          <w:p>
            <w:pPr>
              <w:spacing w:before="20" w:after="40" w:line="252" w:lineRule="auto"/>
            </w:pPr>
            <w:r>
              <w:rPr>
                <w:rFonts w:ascii="Microsoft YaHei" w:hAnsi="Microsoft YaHei" w:eastAsia="Microsoft YaHei"/>
                <w:color w:val="1F2933"/>
                <w:sz w:val="16"/>
              </w:rPr>
              <w:t>仓库出售</w:t>
            </w:r>
          </w:p>
        </w:tc>
        <w:tc>
          <w:tcPr>
            <w:tcW w:type="dxa" w:w="4400"/>
            <w:vAlign w:val="center"/>
          </w:tcPr>
          <w:p>
            <w:pPr>
              <w:spacing w:before="20" w:after="40" w:line="252" w:lineRule="auto"/>
            </w:pPr>
            <w:r>
              <w:rPr>
                <w:rFonts w:ascii="Microsoft YaHei" w:hAnsi="Microsoft YaHei" w:eastAsia="Microsoft YaHei"/>
                <w:color w:val="1F2933"/>
                <w:sz w:val="16"/>
              </w:rPr>
              <w:t>卖出后物品消失、余额按售价增加；重复请求不重复加钱。</w:t>
            </w:r>
          </w:p>
        </w:tc>
        <w:tc>
          <w:tcPr>
            <w:tcW w:type="dxa" w:w="2560"/>
            <w:vAlign w:val="center"/>
          </w:tcPr>
          <w:p>
            <w:pPr>
              <w:spacing w:before="20" w:after="40" w:line="252" w:lineRule="auto"/>
            </w:pPr>
            <w:r>
              <w:rPr>
                <w:rFonts w:ascii="Microsoft YaHei" w:hAnsi="Microsoft YaHei" w:eastAsia="Microsoft YaHei"/>
                <w:color w:val="1F2933"/>
                <w:sz w:val="16"/>
              </w:rPr>
              <w:t>单件、多次连续出售、重复提交、失败回滚。</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AC-15</w:t>
            </w:r>
          </w:p>
        </w:tc>
        <w:tc>
          <w:tcPr>
            <w:tcW w:type="dxa" w:w="1500"/>
            <w:vAlign w:val="center"/>
          </w:tcPr>
          <w:p>
            <w:pPr>
              <w:spacing w:before="20" w:after="40" w:line="252" w:lineRule="auto"/>
            </w:pPr>
            <w:r>
              <w:rPr>
                <w:rFonts w:ascii="Microsoft YaHei" w:hAnsi="Microsoft YaHei" w:eastAsia="Microsoft YaHei"/>
                <w:color w:val="1F2933"/>
                <w:sz w:val="16"/>
              </w:rPr>
              <w:t>连续循环</w:t>
            </w:r>
          </w:p>
        </w:tc>
        <w:tc>
          <w:tcPr>
            <w:tcW w:type="dxa" w:w="4400"/>
            <w:vAlign w:val="center"/>
          </w:tcPr>
          <w:p>
            <w:pPr>
              <w:spacing w:before="20" w:after="40" w:line="252" w:lineRule="auto"/>
            </w:pPr>
            <w:r>
              <w:rPr>
                <w:rFonts w:ascii="Microsoft YaHei" w:hAnsi="Microsoft YaHei" w:eastAsia="Microsoft YaHei"/>
                <w:color w:val="1F2933"/>
                <w:sz w:val="16"/>
              </w:rPr>
              <w:t>至少连续完成成功局、失败局、成功局，仓库/货币/本局状态均正确。</w:t>
            </w:r>
          </w:p>
        </w:tc>
        <w:tc>
          <w:tcPr>
            <w:tcW w:type="dxa" w:w="2560"/>
            <w:vAlign w:val="center"/>
          </w:tcPr>
          <w:p>
            <w:pPr>
              <w:spacing w:before="20" w:after="40" w:line="252" w:lineRule="auto"/>
            </w:pPr>
            <w:r>
              <w:rPr>
                <w:rFonts w:ascii="Microsoft YaHei" w:hAnsi="Microsoft YaHei" w:eastAsia="Microsoft YaHei"/>
                <w:color w:val="1F2933"/>
                <w:sz w:val="16"/>
              </w:rPr>
              <w:t>三局混合路径。</w:t>
            </w:r>
          </w:p>
        </w:tc>
      </w:tr>
      <w:tr>
        <w:trPr>
          <w:cantSplit/>
        </w:trPr>
        <w:tc>
          <w:tcPr>
            <w:tcW w:type="dxa" w:w="900"/>
            <w:vAlign w:val="center"/>
          </w:tcPr>
          <w:p>
            <w:pPr>
              <w:spacing w:before="20" w:after="40" w:line="252" w:lineRule="auto"/>
            </w:pPr>
            <w:r>
              <w:rPr>
                <w:rFonts w:ascii="Microsoft YaHei" w:hAnsi="Microsoft YaHei" w:eastAsia="Microsoft YaHei"/>
                <w:color w:val="1F2933"/>
                <w:sz w:val="16"/>
              </w:rPr>
              <w:t>AC-16</w:t>
            </w:r>
          </w:p>
        </w:tc>
        <w:tc>
          <w:tcPr>
            <w:tcW w:type="dxa" w:w="1500"/>
            <w:vAlign w:val="center"/>
          </w:tcPr>
          <w:p>
            <w:pPr>
              <w:spacing w:before="20" w:after="40" w:line="252" w:lineRule="auto"/>
            </w:pPr>
            <w:r>
              <w:rPr>
                <w:rFonts w:ascii="Microsoft YaHei" w:hAnsi="Microsoft YaHei" w:eastAsia="Microsoft YaHei"/>
                <w:color w:val="1F2933"/>
                <w:sz w:val="16"/>
              </w:rPr>
              <w:t>数据驱动</w:t>
            </w:r>
          </w:p>
        </w:tc>
        <w:tc>
          <w:tcPr>
            <w:tcW w:type="dxa" w:w="4400"/>
            <w:vAlign w:val="center"/>
          </w:tcPr>
          <w:p>
            <w:r>
              <w:t>修改配置即可改变物品、容器Tier/尺寸/概率、测试经济、时间与视觉基准；核心算法/UI无散落副本。</w:t>
            </w:r>
          </w:p>
        </w:tc>
        <w:tc>
          <w:tcPr>
            <w:tcW w:type="dxa" w:w="2560"/>
            <w:vAlign w:val="center"/>
          </w:tcPr>
          <w:p>
            <w:pPr>
              <w:spacing w:before="20" w:after="40" w:line="252" w:lineRule="auto"/>
            </w:pPr>
            <w:r>
              <w:rPr>
                <w:rFonts w:ascii="Microsoft YaHei" w:hAnsi="Microsoft YaHei" w:eastAsia="Microsoft YaHei"/>
                <w:color w:val="1F2933"/>
                <w:sz w:val="16"/>
              </w:rPr>
              <w:t>新增测试物品；修改品质时间后验证单一来源。</w:t>
            </w:r>
          </w:p>
        </w:tc>
      </w:tr>
      <w:tr>
        <w:tc>
          <w:tcPr>
            <w:tcW w:type="dxa" w:w="900"/>
            <w:vAlign w:val="center"/>
          </w:tcPr>
          <w:p>
            <w:r>
              <w:t>AC-17</w:t>
            </w:r>
          </w:p>
        </w:tc>
        <w:tc>
          <w:tcPr>
            <w:tcW w:type="dxa" w:w="1500"/>
            <w:vAlign w:val="center"/>
          </w:tcPr>
          <w:p>
            <w:r>
              <w:t>核心搜刮图形化</w:t>
            </w:r>
          </w:p>
        </w:tc>
        <w:tc>
          <w:tcPr>
            <w:tcW w:type="dxa" w:w="4400"/>
            <w:vAlign w:val="center"/>
          </w:tcPr>
          <w:p>
            <w:r>
              <w:t>容器、二维格子、背包、安全箱、未知遮罩、揭晓、品质与价值均为可操作/可辨识图形界面。</w:t>
            </w:r>
          </w:p>
        </w:tc>
        <w:tc>
          <w:tcPr>
            <w:tcW w:type="dxa" w:w="2560"/>
            <w:vAlign w:val="center"/>
          </w:tcPr>
          <w:p>
            <w:r>
              <w:t>完整搜索→揭晓→移动→旋转→安全箱路径；不得退化为纯文本清单。</w:t>
            </w:r>
          </w:p>
        </w:tc>
      </w:tr>
      <w:tr>
        <w:tc>
          <w:tcPr>
            <w:tcW w:type="dxa" w:w="900"/>
            <w:vAlign w:val="center"/>
          </w:tcPr>
          <w:p>
            <w:r>
              <w:t>AC-18</w:t>
            </w:r>
          </w:p>
        </w:tc>
        <w:tc>
          <w:tcPr>
            <w:tcW w:type="dxa" w:w="1500"/>
            <w:vAlign w:val="center"/>
          </w:tcPr>
          <w:p>
            <w:r>
              <w:t>未知遮罩保密</w:t>
            </w:r>
          </w:p>
        </w:tc>
        <w:tc>
          <w:tcPr>
            <w:tcW w:type="dxa" w:w="4400"/>
            <w:vAlign w:val="center"/>
          </w:tcPr>
          <w:p>
            <w:r>
              <w:t>同尺寸不同身份/品质物品在未知状态下视觉一致，仅暴露实际占格与独立物品边界。</w:t>
            </w:r>
          </w:p>
        </w:tc>
        <w:tc>
          <w:tcPr>
            <w:tcW w:type="dxa" w:w="2560"/>
            <w:vAlign w:val="center"/>
          </w:tcPr>
          <w:p>
            <w:r>
              <w:t>同尺寸跨品质对比；旋转前后；不得泄露类别。</w:t>
            </w:r>
          </w:p>
        </w:tc>
      </w:tr>
      <w:tr>
        <w:tc>
          <w:tcPr>
            <w:tcW w:type="dxa" w:w="900"/>
            <w:vAlign w:val="center"/>
          </w:tcPr>
          <w:p>
            <w:r>
              <w:t>AC-19</w:t>
            </w:r>
          </w:p>
        </w:tc>
        <w:tc>
          <w:tcPr>
            <w:tcW w:type="dxa" w:w="1500"/>
            <w:vAlign w:val="center"/>
          </w:tcPr>
          <w:p>
            <w:r>
              <w:t>容器品质生成</w:t>
            </w:r>
          </w:p>
        </w:tc>
        <w:tc>
          <w:tcPr>
            <w:tcW w:type="dxa" w:w="4400"/>
            <w:vAlign w:val="center"/>
          </w:tcPr>
          <w:p>
            <w:r>
              <w:t>C1～C5使用配置权重；每件物品独立抽取；C5白色权重为0。</w:t>
            </w:r>
          </w:p>
        </w:tc>
        <w:tc>
          <w:tcPr>
            <w:tcW w:type="dxa" w:w="2560"/>
            <w:vAlign w:val="center"/>
          </w:tcPr>
          <w:p>
            <w:r>
              <w:t>权重合计校验；固定随机种子统计/边界；1～3件。</w:t>
            </w:r>
          </w:p>
        </w:tc>
      </w:tr>
      <w:tr>
        <w:tc>
          <w:tcPr>
            <w:tcW w:type="dxa" w:w="900"/>
            <w:vAlign w:val="center"/>
          </w:tcPr>
          <w:p>
            <w:r>
              <w:t>AC-20</w:t>
            </w:r>
          </w:p>
        </w:tc>
        <w:tc>
          <w:tcPr>
            <w:tcW w:type="dxa" w:w="1500"/>
            <w:vAlign w:val="center"/>
          </w:tcPr>
          <w:p>
            <w:r>
              <w:t>Tier与GridSize解耦</w:t>
            </w:r>
          </w:p>
        </w:tc>
        <w:tc>
          <w:tcPr>
            <w:tcW w:type="dxa" w:w="4400"/>
            <w:vAlign w:val="center"/>
          </w:tcPr>
          <w:p>
            <w:r>
              <w:t>同Tier可配置不同GridSize；调整ContainerType尺寸不改Tier概率或核心算法。</w:t>
            </w:r>
          </w:p>
        </w:tc>
        <w:tc>
          <w:tcPr>
            <w:tcW w:type="dxa" w:w="2560"/>
            <w:vAlign w:val="center"/>
          </w:tcPr>
          <w:p>
            <w:r>
              <w:t>至少建立同Tier不同尺寸测试配置。</w:t>
            </w:r>
          </w:p>
        </w:tc>
      </w:tr>
      <w:tr>
        <w:tc>
          <w:tcPr>
            <w:tcW w:type="dxa" w:w="900"/>
            <w:vAlign w:val="center"/>
          </w:tcPr>
          <w:p>
            <w:r>
              <w:t>AC-21</w:t>
            </w:r>
          </w:p>
        </w:tc>
        <w:tc>
          <w:tcPr>
            <w:tcW w:type="dxa" w:w="1500"/>
            <w:vAlign w:val="center"/>
          </w:tcPr>
          <w:p>
            <w:r>
              <w:t>V0.1测试经济</w:t>
            </w:r>
          </w:p>
        </w:tc>
        <w:tc>
          <w:tcPr>
            <w:tcW w:type="dxa" w:w="4400"/>
            <w:vAlign w:val="center"/>
          </w:tcPr>
          <w:p>
            <w:r>
              <w:t>初始100000；三档背包正确售价与尺寸；2×2安全箱默认拥有且免费。</w:t>
            </w:r>
          </w:p>
        </w:tc>
        <w:tc>
          <w:tcPr>
            <w:tcW w:type="dxa" w:w="2560"/>
            <w:vAlign w:val="center"/>
          </w:tcPr>
          <w:p>
            <w:r>
              <w:t>足额、刚好足额、不足；连续购买与开局。</w:t>
            </w:r>
          </w:p>
        </w:tc>
      </w:tr>
      <w:tr>
        <w:tc>
          <w:tcPr>
            <w:tcW w:type="dxa" w:w="900"/>
            <w:vAlign w:val="center"/>
          </w:tcPr>
          <w:p>
            <w:r>
              <w:t>AC-22</w:t>
            </w:r>
          </w:p>
        </w:tc>
        <w:tc>
          <w:tcPr>
            <w:tcW w:type="dxa" w:w="1500"/>
            <w:vAlign w:val="center"/>
          </w:tcPr>
          <w:p>
            <w:r>
              <w:t>响应式1080P基线</w:t>
            </w:r>
          </w:p>
        </w:tc>
        <w:tc>
          <w:tcPr>
            <w:tcW w:type="dxa" w:w="4400"/>
            <w:vAlign w:val="center"/>
          </w:tcPr>
          <w:p>
            <w:r>
              <w:t>1920×1080下信息清楚，调整窗口/画布时主要布局不因绝对像素写死而失效。</w:t>
            </w:r>
          </w:p>
        </w:tc>
        <w:tc>
          <w:tcPr>
            <w:tcW w:type="dxa" w:w="2560"/>
            <w:vAlign w:val="center"/>
          </w:tcPr>
          <w:p>
            <w:r>
              <w:t>1080P基准；至少一个非1080P窗口缩放验证。</w:t>
            </w:r>
          </w:p>
        </w:tc>
      </w:tr>
      <w:tr>
        <w:tc>
          <w:tcPr>
            <w:tcW w:type="dxa" w:w="900"/>
            <w:vAlign w:val="center"/>
          </w:tcPr>
          <w:p>
            <w:r>
              <w:t>AC-23</w:t>
            </w:r>
          </w:p>
        </w:tc>
        <w:tc>
          <w:tcPr>
            <w:tcW w:type="dxa" w:w="1500"/>
            <w:vAlign w:val="center"/>
          </w:tcPr>
          <w:p>
            <w:r>
              <w:t>受保护区变更</w:t>
            </w:r>
          </w:p>
        </w:tc>
        <w:tc>
          <w:tcPr>
            <w:tcW w:type="dxa" w:w="4400"/>
            <w:vAlign w:val="center"/>
          </w:tcPr>
          <w:p>
            <w:r>
              <w:t>涉及状态机、库存/格子、结算、货币、共享数据模型时，有事前批准、影响声明与回归证据。</w:t>
            </w:r>
          </w:p>
        </w:tc>
        <w:tc>
          <w:tcPr>
            <w:tcW w:type="dxa" w:w="2560"/>
            <w:vAlign w:val="center"/>
          </w:tcPr>
          <w:p>
            <w:r>
              <w:t>检查工作包记录、批准记录与回归清单。</w:t>
            </w:r>
          </w:p>
        </w:tc>
      </w:tr>
      <w:tr>
        <w:tc>
          <w:tcPr>
            <w:tcW w:type="dxa" w:w="900"/>
            <w:vAlign w:val="center"/>
          </w:tcPr>
          <w:p>
            <w:r>
              <w:t>AC-24</w:t>
            </w:r>
          </w:p>
        </w:tc>
        <w:tc>
          <w:tcPr>
            <w:tcW w:type="dxa" w:w="1500"/>
            <w:vAlign w:val="center"/>
          </w:tcPr>
          <w:p>
            <w:r>
              <w:t>Git可回退性</w:t>
            </w:r>
          </w:p>
        </w:tc>
        <w:tc>
          <w:tcPr>
            <w:tcW w:type="dxa" w:w="4400"/>
            <w:vAlign w:val="center"/>
          </w:tcPr>
          <w:p>
            <w:r>
              <w:t>开发前有仓库与清晰基线；工作包改动可识别、无覆盖无关改动。</w:t>
            </w:r>
          </w:p>
        </w:tc>
        <w:tc>
          <w:tcPr>
            <w:tcW w:type="dxa" w:w="2560"/>
            <w:vAlign w:val="center"/>
          </w:tcPr>
          <w:p>
            <w:r>
              <w:t>工作区状态、提交/基线记录、交付差异。</w:t>
            </w:r>
          </w:p>
        </w:tc>
      </w:tr>
    </w:tbl>
    <w:p>
      <w:pPr>
        <w:spacing w:after="0"/>
      </w:pPr>
    </w:p>
    <w:p>
      <w:pPr>
        <w:pStyle w:val="Heading2"/>
        <w:keepNext/>
      </w:pPr>
      <w:r>
        <w:t>7.1 验收排除项</w:t>
      </w:r>
    </w:p>
    <w:p>
      <w:pPr>
        <w:keepLines w:val="0"/>
      </w:pPr>
      <w:r>
        <w:rPr>
          <w:rFonts w:ascii="Microsoft YaHei" w:hAnsi="Microsoft YaHei" w:eastAsia="Microsoft YaHei"/>
          <w:color w:val="1F2933"/>
        </w:rPr>
        <w:t>以下现象 MAY 被记录为后续优化项，但 MUST NOT 单独导致 V0.1 工程验收失败：掉率不合理、经济膨胀、背包容量不舒服、搜索节奏不佳、三分钟过短、地图缺乏策略、UI/美术简陋、玩家不愿继续玩。若其背后存在功能错误（如倒计时不准、放置错误），则按功能错误验收。</w:t>
      </w:r>
    </w:p>
    <w:p>
      <w:r>
        <w:br w:type="page"/>
      </w:r>
    </w:p>
    <w:p>
      <w:pPr>
        <w:pStyle w:val="Heading1"/>
        <w:keepNext/>
      </w:pPr>
      <w:r>
        <w:t>8. 自查清单</w:t>
      </w:r>
    </w:p>
    <w:p>
      <w:pPr>
        <w:pStyle w:val="Heading2"/>
        <w:keepNext/>
      </w:pPr>
      <w:r>
        <w:t>8.1 任务开始前</w:t>
      </w:r>
    </w:p>
    <w:p>
      <w:pPr>
        <w:pStyle w:val="ListBullet"/>
      </w:pPr>
      <w:r>
        <w:rPr>
          <w:rFonts w:ascii="Microsoft YaHei" w:hAnsi="Microsoft YaHei" w:eastAsia="Microsoft YaHei"/>
          <w:color w:val="1F2933"/>
        </w:rPr>
        <w:t>已完整读取最新版本项目规范，并确认任务目标属于 V0.1 范围。</w:t>
      </w:r>
    </w:p>
    <w:p>
      <w:pPr>
        <w:pStyle w:val="ListBullet"/>
      </w:pPr>
      <w:r>
        <w:rPr>
          <w:rFonts w:ascii="Microsoft YaHei" w:hAnsi="Microsoft YaHei" w:eastAsia="Microsoft YaHei"/>
          <w:color w:val="1F2933"/>
        </w:rPr>
        <w:t>已列出本次将修改的文件/模块、预期行为与不修改的范围。</w:t>
      </w:r>
    </w:p>
    <w:p>
      <w:pPr>
        <w:pStyle w:val="ListBullet"/>
      </w:pPr>
      <w:r>
        <w:rPr>
          <w:rFonts w:ascii="Microsoft YaHei" w:hAnsi="Microsoft YaHei" w:eastAsia="Microsoft YaHei"/>
          <w:color w:val="1F2933"/>
        </w:rPr>
        <w:t>已检查任务是否依赖 TBD；若依赖，已停止相关实现并向产品提问。</w:t>
      </w:r>
    </w:p>
    <w:p>
      <w:pPr>
        <w:pStyle w:val="ListBullet"/>
      </w:pPr>
      <w:r>
        <w:rPr>
          <w:rFonts w:ascii="Microsoft YaHei" w:hAnsi="Microsoft YaHei" w:eastAsia="Microsoft YaHei"/>
          <w:color w:val="1F2933"/>
        </w:rPr>
        <w:t>已检查现有改动，确保不覆盖用户或其他工作的无关修改。</w:t>
      </w:r>
    </w:p>
    <w:p>
      <w:pPr>
        <w:pStyle w:val="ListBullet"/>
      </w:pPr>
      <w:r>
        <w:rPr>
          <w:rFonts w:ascii="Microsoft YaHei" w:hAnsi="Microsoft YaHei" w:eastAsia="Microsoft YaHei"/>
          <w:color w:val="1F2933"/>
        </w:rPr>
        <w:t>已选择最小实现路径，不引入未批准系统或重构。</w:t>
      </w:r>
    </w:p>
    <w:p>
      <w:pPr>
        <w:pStyle w:val="ListBullet"/>
      </w:pPr>
      <w:r>
        <w:t>已确认 Git 仓库存在并检查工作区状态；高风险或 BUG 修复前存在可回退基线。</w:t>
      </w:r>
    </w:p>
    <w:p>
      <w:pPr>
        <w:pStyle w:val="ListBullet"/>
      </w:pPr>
      <w:r>
        <w:t>已把任务拆成单一可验收的小工作包，并按依赖顺序执行；未同时大改多个系统。</w:t>
      </w:r>
    </w:p>
    <w:p>
      <w:pPr>
        <w:pStyle w:val="ListBullet"/>
      </w:pPr>
      <w:r>
        <w:t>已声明受影响文件/模块、受保护核心区、明确不修改范围和回归范围。</w:t>
      </w:r>
    </w:p>
    <w:p>
      <w:pPr>
        <w:pStyle w:val="Heading2"/>
        <w:keepNext/>
      </w:pPr>
      <w:r>
        <w:t>8.2 实现过程中</w:t>
      </w:r>
    </w:p>
    <w:p>
      <w:pPr>
        <w:pStyle w:val="ListBullet"/>
      </w:pPr>
      <w:r>
        <w:rPr>
          <w:rFonts w:ascii="Microsoft YaHei" w:hAnsi="Microsoft YaHei" w:eastAsia="Microsoft YaHei"/>
          <w:color w:val="1F2933"/>
        </w:rPr>
        <w:t>已保持配置单一来源，未复制暂定数值到多个位置。</w:t>
      </w:r>
    </w:p>
    <w:p>
      <w:pPr>
        <w:pStyle w:val="ListBullet"/>
      </w:pPr>
      <w:r>
        <w:rPr>
          <w:rFonts w:ascii="Microsoft YaHei" w:hAnsi="Microsoft YaHei" w:eastAsia="Microsoft YaHei"/>
          <w:color w:val="1F2933"/>
        </w:rPr>
        <w:t>已保持 ItemInstance 唯一身份与原子移动。</w:t>
      </w:r>
    </w:p>
    <w:p>
      <w:pPr>
        <w:pStyle w:val="ListBullet"/>
      </w:pPr>
      <w:r>
        <w:rPr>
          <w:rFonts w:ascii="Microsoft YaHei" w:hAnsi="Microsoft YaHei" w:eastAsia="Microsoft YaHei"/>
          <w:color w:val="1F2933"/>
        </w:rPr>
        <w:t>已为新增状态转换设置明确进入条件、离开条件和失败行为。</w:t>
      </w:r>
    </w:p>
    <w:p>
      <w:pPr>
        <w:pStyle w:val="ListBullet"/>
      </w:pPr>
      <w:r>
        <w:rPr>
          <w:rFonts w:ascii="Microsoft YaHei" w:hAnsi="Microsoft YaHei" w:eastAsia="Microsoft YaHei"/>
          <w:color w:val="1F2933"/>
        </w:rPr>
        <w:t>已处理重复点击、重复事件、帧率波动和失败回滚。</w:t>
      </w:r>
    </w:p>
    <w:p>
      <w:pPr>
        <w:pStyle w:val="ListBullet"/>
      </w:pPr>
      <w:r>
        <w:rPr>
          <w:rFonts w:ascii="Microsoft YaHei" w:hAnsi="Microsoft YaHei" w:eastAsia="Microsoft YaHei"/>
          <w:color w:val="1F2933"/>
        </w:rPr>
        <w:t>未加入战斗、成长、正式美术或其他范围外功能。</w:t>
      </w:r>
    </w:p>
    <w:p>
      <w:pPr>
        <w:pStyle w:val="ListBullet"/>
      </w:pPr>
      <w:r>
        <w:t>BUG 修复已先复现并记录证据、定位根因；若根因不确定，已停工说明而非大范围试错。</w:t>
      </w:r>
    </w:p>
    <w:p>
      <w:pPr>
        <w:pStyle w:val="ListBullet"/>
      </w:pPr>
      <w:r>
        <w:t>未通过吞异常、关闭功能、删除校验、放宽不变量或修改测试迎合错误实现来消除表面现象。</w:t>
      </w:r>
    </w:p>
    <w:p>
      <w:pPr>
        <w:pStyle w:val="ListBullet"/>
      </w:pPr>
      <w:r>
        <w:t>未因“顺手”“方便”“以后可能需要”扩大工作包、重构无关代码或触碰未批准模块。</w:t>
      </w:r>
    </w:p>
    <w:p>
      <w:pPr>
        <w:pStyle w:val="Heading2"/>
        <w:keepNext/>
      </w:pPr>
      <w:r>
        <w:t>8.3 交付前</w:t>
      </w:r>
    </w:p>
    <w:p>
      <w:pPr>
        <w:pStyle w:val="ListBullet"/>
      </w:pPr>
      <w:r>
        <w:rPr>
          <w:rFonts w:ascii="Microsoft YaHei" w:hAnsi="Microsoft YaHei" w:eastAsia="Microsoft YaHei"/>
          <w:color w:val="1F2933"/>
        </w:rPr>
        <w:t>已运行与改动风险相匹配的自动化测试和手动验证。</w:t>
      </w:r>
    </w:p>
    <w:p>
      <w:pPr>
        <w:pStyle w:val="ListBullet"/>
      </w:pPr>
      <w:r>
        <w:rPr>
          <w:rFonts w:ascii="Microsoft YaHei" w:hAnsi="Microsoft YaHei" w:eastAsia="Microsoft YaHei"/>
          <w:color w:val="1F2933"/>
        </w:rPr>
        <w:t>已验证相关核心不变量，特别是无复制、无误失、无越界、结算幂等、货币正确。</w:t>
      </w:r>
    </w:p>
    <w:p>
      <w:pPr>
        <w:pStyle w:val="ListBullet"/>
      </w:pPr>
      <w:r>
        <w:rPr>
          <w:rFonts w:ascii="Microsoft YaHei" w:hAnsi="Microsoft YaHei" w:eastAsia="Microsoft YaHei"/>
          <w:color w:val="1F2933"/>
        </w:rPr>
        <w:t>已验证至少一条正常路径和一条失败/边界路径。</w:t>
      </w:r>
    </w:p>
    <w:p>
      <w:pPr>
        <w:pStyle w:val="ListBullet"/>
      </w:pPr>
      <w:r>
        <w:rPr>
          <w:rFonts w:ascii="Microsoft YaHei" w:hAnsi="Microsoft YaHei" w:eastAsia="Microsoft YaHei"/>
          <w:color w:val="1F2933"/>
        </w:rPr>
        <w:t>若影响跨局数据，已完成连续多局验证。</w:t>
      </w:r>
    </w:p>
    <w:p>
      <w:pPr>
        <w:pStyle w:val="ListBullet"/>
      </w:pPr>
      <w:r>
        <w:rPr>
          <w:rFonts w:ascii="Microsoft YaHei" w:hAnsi="Microsoft YaHei" w:eastAsia="Microsoft YaHei"/>
          <w:color w:val="1F2933"/>
        </w:rPr>
        <w:t>交付说明已列出：改了什么、为何改、影响范围、未改什么、验证命令/方法、验证结果、剩余风险与 TBD。</w:t>
      </w:r>
    </w:p>
    <w:p>
      <w:pPr>
        <w:pStyle w:val="ListBullet"/>
      </w:pPr>
      <w:r>
        <w:rPr>
          <w:rFonts w:ascii="Microsoft YaHei" w:hAnsi="Microsoft YaHei" w:eastAsia="Microsoft YaHei"/>
          <w:color w:val="1F2933"/>
        </w:rPr>
        <w:t>未声称未运行的测试已通过；未用“看起来可以”替代验证证据。</w:t>
      </w:r>
    </w:p>
    <w:p>
      <w:pPr>
        <w:pStyle w:val="ListBullet"/>
      </w:pPr>
      <w:r>
        <w:t>已确认原 BUG/目标用例通过，并完成正常路径、相关边界与共享模块回归。</w:t>
      </w:r>
    </w:p>
    <w:p>
      <w:pPr>
        <w:pStyle w:val="ListBullet"/>
      </w:pPr>
      <w:r>
        <w:t>已复查最终工作区差异与测试结果；无关未提交改动保持原样。</w:t>
      </w:r>
    </w:p>
    <w:p>
      <w:pPr>
        <w:pStyle w:val="ListBullet"/>
      </w:pPr>
      <w:r>
        <w:t>已形成可回退提交点或明确记录未提交原因；测试失败时未提交为完成状态。</w:t>
      </w:r>
    </w:p>
    <w:p>
      <w:pPr>
        <w:pStyle w:val="Heading1"/>
        <w:keepNext/>
      </w:pPr>
      <w:r>
        <w:t>9. 变更控制</w:t>
      </w:r>
    </w:p>
    <w:p>
      <w:pPr>
        <w:pStyle w:val="Heading2"/>
        <w:keepNext/>
      </w:pPr>
      <w:r>
        <w:t>9.1 变更触发条件</w:t>
      </w:r>
    </w:p>
    <w:p>
      <w:pPr>
        <w:keepLines w:val="0"/>
      </w:pPr>
      <w:r>
        <w:rPr>
          <w:rFonts w:ascii="Microsoft YaHei" w:hAnsi="Microsoft YaHei" w:eastAsia="Microsoft YaHei"/>
          <w:color w:val="1F2933"/>
        </w:rPr>
        <w:t>任何对已确认/暂定规则、V0.1 范围、状态机、不变量、验收标准或 TBD 结论的修改，均属于规范变更。Codex MUST NOT 仅凭实现需要、常见做法或此前助手建议修改。</w:t>
      </w:r>
    </w:p>
    <w:p>
      <w:pPr>
        <w:pStyle w:val="Heading2"/>
        <w:keepNext/>
      </w:pPr>
      <w:r>
        <w:t>9.2 强制流程</w:t>
      </w:r>
    </w:p>
    <w:p>
      <w:pPr>
        <w:pStyle w:val="ListNumber"/>
      </w:pPr>
      <w:r>
        <w:rPr>
          <w:rFonts w:ascii="Microsoft YaHei" w:hAnsi="Microsoft YaHei" w:eastAsia="Microsoft YaHei"/>
          <w:color w:val="1F2933"/>
        </w:rPr>
        <w:t>提出：写明问题、现状、建议变更和不变范围。</w:t>
      </w:r>
    </w:p>
    <w:p>
      <w:pPr>
        <w:pStyle w:val="ListNumber"/>
      </w:pPr>
      <w:r>
        <w:rPr>
          <w:rFonts w:ascii="Microsoft YaHei" w:hAnsi="Microsoft YaHei" w:eastAsia="Microsoft YaHei"/>
          <w:color w:val="1F2933"/>
        </w:rPr>
        <w:t>影响分析：列出受影响的流程、数据、测试、存档/兼容与风险。</w:t>
      </w:r>
    </w:p>
    <w:p>
      <w:pPr>
        <w:pStyle w:val="ListNumber"/>
      </w:pPr>
      <w:r>
        <w:rPr>
          <w:rFonts w:ascii="Microsoft YaHei" w:hAnsi="Microsoft YaHei" w:eastAsia="Microsoft YaHei"/>
          <w:color w:val="1F2933"/>
        </w:rPr>
        <w:t>产品决策：仅用户/产品负责人明确批准后才可进入实现。</w:t>
      </w:r>
    </w:p>
    <w:p>
      <w:pPr>
        <w:pStyle w:val="ListNumber"/>
      </w:pPr>
      <w:r>
        <w:rPr>
          <w:rFonts w:ascii="Microsoft YaHei" w:hAnsi="Microsoft YaHei" w:eastAsia="Microsoft YaHei"/>
          <w:color w:val="1F2933"/>
        </w:rPr>
        <w:t>更新规范：先更新状态、规则、版本号和变更记录，再修改代码。</w:t>
      </w:r>
    </w:p>
    <w:p>
      <w:pPr>
        <w:pStyle w:val="ListNumber"/>
      </w:pPr>
      <w:r>
        <w:rPr>
          <w:rFonts w:ascii="Microsoft YaHei" w:hAnsi="Microsoft YaHei" w:eastAsia="Microsoft YaHei"/>
          <w:color w:val="1F2933"/>
        </w:rPr>
        <w:t>实现与验证：按更新后的验收标准执行；不得只改代码不改规范。</w:t>
      </w:r>
    </w:p>
    <w:p>
      <w:pPr>
        <w:pStyle w:val="Heading2"/>
        <w:keepNext/>
      </w:pPr>
      <w:r>
        <w:t>9.3 冲突处理</w:t>
      </w:r>
    </w:p>
    <w:p>
      <w:pPr>
        <w:pStyle w:val="ListBullet"/>
      </w:pPr>
      <w:r>
        <w:rPr>
          <w:rFonts w:ascii="Microsoft YaHei" w:hAnsi="Microsoft YaHei" w:eastAsia="Microsoft YaHei"/>
          <w:color w:val="1F2933"/>
        </w:rPr>
        <w:t>用户最新明确指令与本文冲突时，MUST 暂停冲突部分，指出冲突并请求确认是否修改规范。</w:t>
      </w:r>
    </w:p>
    <w:p>
      <w:pPr>
        <w:pStyle w:val="ListBullet"/>
      </w:pPr>
      <w:r>
        <w:rPr>
          <w:rFonts w:ascii="Microsoft YaHei" w:hAnsi="Microsoft YaHei" w:eastAsia="Microsoft YaHei"/>
          <w:color w:val="1F2933"/>
        </w:rPr>
        <w:t>任务说明与本文冲突时，MUST 以本文为准并报告冲突；不得静默折中。</w:t>
      </w:r>
    </w:p>
    <w:p>
      <w:pPr>
        <w:pStyle w:val="ListBullet"/>
      </w:pPr>
      <w:r>
        <w:rPr>
          <w:rFonts w:ascii="Microsoft YaHei" w:hAnsi="Microsoft YaHei" w:eastAsia="Microsoft YaHei"/>
          <w:color w:val="1F2933"/>
        </w:rPr>
        <w:t>代码现状与本文冲突时，代码不构成产品事实；应报告偏差并按授权范围修正。</w:t>
      </w:r>
    </w:p>
    <w:p>
      <w:pPr>
        <w:pStyle w:val="Heading2"/>
        <w:keepNext/>
      </w:pPr>
      <w:r>
        <w:t>9.4 变更记录模板</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rPr>
          <w:tblHeader w:val="true"/>
          <w:cantSplit/>
        </w:trPr>
        <w:tc>
          <w:tcPr>
            <w:tcW w:type="dxa" w:w="23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字段</w:t>
            </w:r>
          </w:p>
        </w:tc>
        <w:tc>
          <w:tcPr>
            <w:tcW w:type="dxa" w:w="70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填写要求</w:t>
            </w:r>
          </w:p>
        </w:tc>
      </w:tr>
      <w:tr>
        <w:trPr>
          <w:cantSplit/>
        </w:trPr>
        <w:tc>
          <w:tcPr>
            <w:tcW w:type="dxa" w:w="2300"/>
            <w:vAlign w:val="center"/>
          </w:tcPr>
          <w:p>
            <w:pPr>
              <w:spacing w:before="20" w:after="40" w:line="252" w:lineRule="auto"/>
            </w:pPr>
            <w:r>
              <w:rPr>
                <w:rFonts w:ascii="Microsoft YaHei" w:hAnsi="Microsoft YaHei" w:eastAsia="Microsoft YaHei"/>
                <w:color w:val="1F2933"/>
                <w:sz w:val="18"/>
              </w:rPr>
              <w:t>变更 ID</w:t>
            </w:r>
          </w:p>
        </w:tc>
        <w:tc>
          <w:tcPr>
            <w:tcW w:type="dxa" w:w="7060"/>
            <w:vAlign w:val="center"/>
          </w:tcPr>
          <w:p>
            <w:pPr>
              <w:spacing w:before="20" w:after="40" w:line="252" w:lineRule="auto"/>
            </w:pPr>
            <w:r>
              <w:rPr>
                <w:rFonts w:ascii="Microsoft YaHei" w:hAnsi="Microsoft YaHei" w:eastAsia="Microsoft YaHei"/>
                <w:color w:val="1F2933"/>
                <w:sz w:val="18"/>
              </w:rPr>
              <w:t>唯一标识，例如 CR-001</w:t>
            </w:r>
          </w:p>
        </w:tc>
      </w:tr>
      <w:tr>
        <w:trPr>
          <w:cantSplit/>
        </w:trPr>
        <w:tc>
          <w:tcPr>
            <w:tcW w:type="dxa" w:w="2300"/>
            <w:vAlign w:val="center"/>
          </w:tcPr>
          <w:p>
            <w:pPr>
              <w:spacing w:before="20" w:after="40" w:line="252" w:lineRule="auto"/>
            </w:pPr>
            <w:r>
              <w:rPr>
                <w:rFonts w:ascii="Microsoft YaHei" w:hAnsi="Microsoft YaHei" w:eastAsia="Microsoft YaHei"/>
                <w:color w:val="1F2933"/>
                <w:sz w:val="18"/>
              </w:rPr>
              <w:t>提出日期/提出人</w:t>
            </w:r>
          </w:p>
        </w:tc>
        <w:tc>
          <w:tcPr>
            <w:tcW w:type="dxa" w:w="7060"/>
            <w:vAlign w:val="center"/>
          </w:tcPr>
          <w:p>
            <w:pPr>
              <w:spacing w:before="20" w:after="40" w:line="252" w:lineRule="auto"/>
            </w:pPr>
            <w:r>
              <w:rPr>
                <w:rFonts w:ascii="Microsoft YaHei" w:hAnsi="Microsoft YaHei" w:eastAsia="Microsoft YaHei"/>
                <w:color w:val="1F2933"/>
                <w:sz w:val="18"/>
              </w:rPr>
              <w:t>记录来源</w:t>
            </w:r>
          </w:p>
        </w:tc>
      </w:tr>
      <w:tr>
        <w:trPr>
          <w:cantSplit/>
        </w:trPr>
        <w:tc>
          <w:tcPr>
            <w:tcW w:type="dxa" w:w="2300"/>
            <w:vAlign w:val="center"/>
          </w:tcPr>
          <w:p>
            <w:pPr>
              <w:spacing w:before="20" w:after="40" w:line="252" w:lineRule="auto"/>
            </w:pPr>
            <w:r>
              <w:rPr>
                <w:rFonts w:ascii="Microsoft YaHei" w:hAnsi="Microsoft YaHei" w:eastAsia="Microsoft YaHei"/>
                <w:color w:val="1F2933"/>
                <w:sz w:val="18"/>
              </w:rPr>
              <w:t>原规则</w:t>
            </w:r>
          </w:p>
        </w:tc>
        <w:tc>
          <w:tcPr>
            <w:tcW w:type="dxa" w:w="7060"/>
            <w:vAlign w:val="center"/>
          </w:tcPr>
          <w:p>
            <w:pPr>
              <w:spacing w:before="20" w:after="40" w:line="252" w:lineRule="auto"/>
            </w:pPr>
            <w:r>
              <w:rPr>
                <w:rFonts w:ascii="Microsoft YaHei" w:hAnsi="Microsoft YaHei" w:eastAsia="Microsoft YaHei"/>
                <w:color w:val="1F2933"/>
                <w:sz w:val="18"/>
              </w:rPr>
              <w:t>引用章节与原文</w:t>
            </w:r>
          </w:p>
        </w:tc>
      </w:tr>
      <w:tr>
        <w:trPr>
          <w:cantSplit/>
        </w:trPr>
        <w:tc>
          <w:tcPr>
            <w:tcW w:type="dxa" w:w="2300"/>
            <w:vAlign w:val="center"/>
          </w:tcPr>
          <w:p>
            <w:pPr>
              <w:spacing w:before="20" w:after="40" w:line="252" w:lineRule="auto"/>
            </w:pPr>
            <w:r>
              <w:rPr>
                <w:rFonts w:ascii="Microsoft YaHei" w:hAnsi="Microsoft YaHei" w:eastAsia="Microsoft YaHei"/>
                <w:color w:val="1F2933"/>
                <w:sz w:val="18"/>
              </w:rPr>
              <w:t>新规则</w:t>
            </w:r>
          </w:p>
        </w:tc>
        <w:tc>
          <w:tcPr>
            <w:tcW w:type="dxa" w:w="7060"/>
            <w:vAlign w:val="center"/>
          </w:tcPr>
          <w:p>
            <w:pPr>
              <w:spacing w:before="20" w:after="40" w:line="252" w:lineRule="auto"/>
            </w:pPr>
            <w:r>
              <w:rPr>
                <w:rFonts w:ascii="Microsoft YaHei" w:hAnsi="Microsoft YaHei" w:eastAsia="Microsoft YaHei"/>
                <w:color w:val="1F2933"/>
                <w:sz w:val="18"/>
              </w:rPr>
              <w:t>使用 MUST/MUST NOT/SHOULD/TBD 明确表达</w:t>
            </w:r>
          </w:p>
        </w:tc>
      </w:tr>
      <w:tr>
        <w:trPr>
          <w:cantSplit/>
        </w:trPr>
        <w:tc>
          <w:tcPr>
            <w:tcW w:type="dxa" w:w="2300"/>
            <w:vAlign w:val="center"/>
          </w:tcPr>
          <w:p>
            <w:pPr>
              <w:spacing w:before="20" w:after="40" w:line="252" w:lineRule="auto"/>
            </w:pPr>
            <w:r>
              <w:rPr>
                <w:rFonts w:ascii="Microsoft YaHei" w:hAnsi="Microsoft YaHei" w:eastAsia="Microsoft YaHei"/>
                <w:color w:val="1F2933"/>
                <w:sz w:val="18"/>
              </w:rPr>
              <w:t>原因</w:t>
            </w:r>
          </w:p>
        </w:tc>
        <w:tc>
          <w:tcPr>
            <w:tcW w:type="dxa" w:w="7060"/>
            <w:vAlign w:val="center"/>
          </w:tcPr>
          <w:p>
            <w:pPr>
              <w:spacing w:before="20" w:after="40" w:line="252" w:lineRule="auto"/>
            </w:pPr>
            <w:r>
              <w:rPr>
                <w:rFonts w:ascii="Microsoft YaHei" w:hAnsi="Microsoft YaHei" w:eastAsia="Microsoft YaHei"/>
                <w:color w:val="1F2933"/>
                <w:sz w:val="18"/>
              </w:rPr>
              <w:t>业务原因，不写“实现方便”作为唯一理由</w:t>
            </w:r>
          </w:p>
        </w:tc>
      </w:tr>
      <w:tr>
        <w:trPr>
          <w:cantSplit/>
        </w:trPr>
        <w:tc>
          <w:tcPr>
            <w:tcW w:type="dxa" w:w="2300"/>
            <w:vAlign w:val="center"/>
          </w:tcPr>
          <w:p>
            <w:pPr>
              <w:spacing w:before="20" w:after="40" w:line="252" w:lineRule="auto"/>
            </w:pPr>
            <w:r>
              <w:rPr>
                <w:rFonts w:ascii="Microsoft YaHei" w:hAnsi="Microsoft YaHei" w:eastAsia="Microsoft YaHei"/>
                <w:color w:val="1F2933"/>
                <w:sz w:val="18"/>
              </w:rPr>
              <w:t>影响范围</w:t>
            </w:r>
          </w:p>
        </w:tc>
        <w:tc>
          <w:tcPr>
            <w:tcW w:type="dxa" w:w="7060"/>
            <w:vAlign w:val="center"/>
          </w:tcPr>
          <w:p>
            <w:pPr>
              <w:spacing w:before="20" w:after="40" w:line="252" w:lineRule="auto"/>
            </w:pPr>
            <w:r>
              <w:rPr>
                <w:rFonts w:ascii="Microsoft YaHei" w:hAnsi="Microsoft YaHei" w:eastAsia="Microsoft YaHei"/>
                <w:color w:val="1F2933"/>
                <w:sz w:val="18"/>
              </w:rPr>
              <w:t>流程、数据、UI、测试、兼容性、文档</w:t>
            </w:r>
          </w:p>
        </w:tc>
      </w:tr>
      <w:tr>
        <w:trPr>
          <w:cantSplit/>
        </w:trPr>
        <w:tc>
          <w:tcPr>
            <w:tcW w:type="dxa" w:w="2300"/>
            <w:vAlign w:val="center"/>
          </w:tcPr>
          <w:p>
            <w:pPr>
              <w:spacing w:before="20" w:after="40" w:line="252" w:lineRule="auto"/>
            </w:pPr>
            <w:r>
              <w:rPr>
                <w:rFonts w:ascii="Microsoft YaHei" w:hAnsi="Microsoft YaHei" w:eastAsia="Microsoft YaHei"/>
                <w:color w:val="1F2933"/>
                <w:sz w:val="18"/>
              </w:rPr>
              <w:t>决策</w:t>
            </w:r>
          </w:p>
        </w:tc>
        <w:tc>
          <w:tcPr>
            <w:tcW w:type="dxa" w:w="7060"/>
            <w:vAlign w:val="center"/>
          </w:tcPr>
          <w:p>
            <w:pPr>
              <w:spacing w:before="20" w:after="40" w:line="252" w:lineRule="auto"/>
            </w:pPr>
            <w:r>
              <w:rPr>
                <w:rFonts w:ascii="Microsoft YaHei" w:hAnsi="Microsoft YaHei" w:eastAsia="Microsoft YaHei"/>
                <w:color w:val="1F2933"/>
                <w:sz w:val="18"/>
              </w:rPr>
              <w:t>批准/拒绝/待定及产品负责人原话摘要</w:t>
            </w:r>
          </w:p>
        </w:tc>
      </w:tr>
      <w:tr>
        <w:trPr>
          <w:cantSplit/>
        </w:trPr>
        <w:tc>
          <w:tcPr>
            <w:tcW w:type="dxa" w:w="2300"/>
            <w:vAlign w:val="center"/>
          </w:tcPr>
          <w:p>
            <w:pPr>
              <w:spacing w:before="20" w:after="40" w:line="252" w:lineRule="auto"/>
            </w:pPr>
            <w:r>
              <w:rPr>
                <w:rFonts w:ascii="Microsoft YaHei" w:hAnsi="Microsoft YaHei" w:eastAsia="Microsoft YaHei"/>
                <w:color w:val="1F2933"/>
                <w:sz w:val="18"/>
              </w:rPr>
              <w:t>验证</w:t>
            </w:r>
          </w:p>
        </w:tc>
        <w:tc>
          <w:tcPr>
            <w:tcW w:type="dxa" w:w="7060"/>
            <w:vAlign w:val="center"/>
          </w:tcPr>
          <w:p>
            <w:pPr>
              <w:spacing w:before="20" w:after="40" w:line="252" w:lineRule="auto"/>
            </w:pPr>
            <w:r>
              <w:rPr>
                <w:rFonts w:ascii="Microsoft YaHei" w:hAnsi="Microsoft YaHei" w:eastAsia="Microsoft YaHei"/>
                <w:color w:val="1F2933"/>
                <w:sz w:val="18"/>
              </w:rPr>
              <w:t>更新后的验收用例与结果</w:t>
            </w:r>
          </w:p>
        </w:tc>
      </w:tr>
    </w:tbl>
    <w:p>
      <w:pPr>
        <w:spacing w:after="0"/>
      </w:pPr>
    </w:p>
    <w:p>
      <w:r>
        <w:br w:type="page"/>
      </w:r>
    </w:p>
    <w:p>
      <w:pPr>
        <w:pStyle w:val="Heading2"/>
        <w:keepNext/>
      </w:pPr>
      <w:r>
        <w:t>9.5 本版变更记录</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40"/>
            <w:vAlign w:val="center"/>
            <w:shd w:fill="D9E7F3"/>
          </w:tcPr>
          <w:p>
            <w:pPr>
              <w:spacing w:after="0"/>
            </w:pPr>
            <w:r>
              <w:rPr>
                <w:b/>
                <w:sz w:val="16"/>
              </w:rPr>
              <w:t>变更ID</w:t>
            </w:r>
          </w:p>
        </w:tc>
        <w:tc>
          <w:tcPr>
            <w:tcW w:type="dxa" w:w="1440"/>
            <w:vAlign w:val="center"/>
            <w:shd w:fill="D9E7F3"/>
          </w:tcPr>
          <w:p>
            <w:pPr>
              <w:spacing w:after="0"/>
            </w:pPr>
            <w:r>
              <w:rPr>
                <w:b/>
                <w:sz w:val="16"/>
              </w:rPr>
              <w:t>日期</w:t>
            </w:r>
          </w:p>
        </w:tc>
        <w:tc>
          <w:tcPr>
            <w:tcW w:type="dxa" w:w="4824"/>
            <w:vAlign w:val="center"/>
            <w:shd w:fill="D9E7F3"/>
          </w:tcPr>
          <w:p>
            <w:pPr>
              <w:spacing w:after="0"/>
            </w:pPr>
            <w:r>
              <w:rPr>
                <w:b/>
                <w:sz w:val="16"/>
              </w:rPr>
              <w:t>决策/变更</w:t>
            </w:r>
          </w:p>
        </w:tc>
        <w:tc>
          <w:tcPr>
            <w:tcW w:type="dxa" w:w="2376"/>
            <w:vAlign w:val="center"/>
            <w:shd w:fill="D9E7F3"/>
          </w:tcPr>
          <w:p>
            <w:pPr>
              <w:spacing w:after="0"/>
            </w:pPr>
            <w:r>
              <w:rPr>
                <w:b/>
                <w:sz w:val="16"/>
              </w:rPr>
              <w:t>状态与影响</w:t>
            </w:r>
          </w:p>
        </w:tc>
      </w:tr>
      <w:tr>
        <w:tc>
          <w:tcPr>
            <w:tcW w:type="dxa" w:w="1440"/>
            <w:vAlign w:val="center"/>
          </w:tcPr>
          <w:p>
            <w:pPr>
              <w:spacing w:after="0"/>
            </w:pPr>
            <w:r>
              <w:rPr>
                <w:sz w:val="16"/>
              </w:rPr>
              <w:t>CR-001</w:t>
            </w:r>
          </w:p>
        </w:tc>
        <w:tc>
          <w:tcPr>
            <w:tcW w:type="dxa" w:w="1440"/>
            <w:vAlign w:val="center"/>
          </w:tcPr>
          <w:p>
            <w:pPr>
              <w:spacing w:after="0"/>
            </w:pPr>
            <w:r>
              <w:rPr>
                <w:sz w:val="16"/>
              </w:rPr>
              <w:t>2026-08-21</w:t>
            </w:r>
          </w:p>
        </w:tc>
        <w:tc>
          <w:tcPr>
            <w:tcW w:type="dxa" w:w="4824"/>
            <w:vAlign w:val="center"/>
          </w:tcPr>
          <w:p>
            <w:pPr>
              <w:spacing w:after="0"/>
            </w:pPr>
            <w:r>
              <w:rPr>
                <w:sz w:val="16"/>
              </w:rPr>
              <w:t>同步项目经理会话中已批准的协作、BUG安全、产品讨论、图形化搜刮、视觉资产、C1-C5、废弃工厂容器、测试经济、数据配置与Git流程。</w:t>
            </w:r>
          </w:p>
        </w:tc>
        <w:tc>
          <w:tcPr>
            <w:tcW w:type="dxa" w:w="2376"/>
            <w:vAlign w:val="center"/>
          </w:tcPr>
          <w:p>
            <w:pPr>
              <w:spacing w:after="0"/>
            </w:pPr>
            <w:r>
              <w:rPr>
                <w:sz w:val="16"/>
              </w:rPr>
              <w:t>已批准；更新范围、视觉、数据模型、验收、自查、TBD与追踪矩阵。未决事项保持TBD。</w:t>
            </w:r>
          </w:p>
        </w:tc>
      </w:tr>
    </w:tbl>
    <w:p>
      <w:pPr>
        <w:pStyle w:val="Heading1"/>
        <w:keepNext/>
      </w:pPr>
      <w:r>
        <w:t>10. Codex 工作协议</w:t>
      </w:r>
    </w:p>
    <w:p>
      <w:pPr>
        <w:keepLines/>
        <w:spacing w:before="80" w:after="160"/>
        <w:ind w:left="144" w:right="86"/>
        <w:shd w:fill="EAF2F8"/>
        <w:pBdr>
          <w:left w:val="single" w:sz="18" w:space="6" w:color="1F4D78"/>
        </w:pBdr>
      </w:pPr>
      <w:r>
        <w:rPr>
          <w:rFonts w:ascii="Microsoft YaHei" w:hAnsi="Microsoft YaHei" w:eastAsia="Microsoft YaHei"/>
          <w:b/>
          <w:color w:val="1F4D78"/>
          <w:sz w:val="21"/>
        </w:rPr>
        <w:t xml:space="preserve">适用范围  </w:t>
      </w:r>
      <w:r>
        <w:rPr>
          <w:rFonts w:ascii="Microsoft YaHei" w:hAnsi="Microsoft YaHei" w:eastAsia="Microsoft YaHei"/>
          <w:color w:val="1F2933"/>
          <w:sz w:val="21"/>
        </w:rPr>
        <w:t>本协议适用于 Codex 对该项目进行分析、设计、编码、重构、测试、修复、文档更新和交付的每一次任务。</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00"/>
        <w:gridCol w:w="7260"/>
      </w:tblGrid>
      <w:tr>
        <w:trPr>
          <w:tblHeader w:val="true"/>
          <w:cantSplit/>
        </w:trPr>
        <w:tc>
          <w:tcPr>
            <w:tcW w:type="dxa" w:w="21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协议</w:t>
            </w:r>
          </w:p>
        </w:tc>
        <w:tc>
          <w:tcPr>
            <w:tcW w:type="dxa" w:w="72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8"/>
              </w:rPr>
              <w:t>强制要求</w:t>
            </w:r>
          </w:p>
        </w:tc>
      </w:tr>
      <w:tr>
        <w:trPr>
          <w:cantSplit/>
        </w:trPr>
        <w:tc>
          <w:tcPr>
            <w:tcW w:type="dxa" w:w="2100"/>
            <w:vAlign w:val="center"/>
          </w:tcPr>
          <w:p>
            <w:pPr>
              <w:spacing w:before="20" w:after="40" w:line="252" w:lineRule="auto"/>
            </w:pPr>
            <w:r>
              <w:rPr>
                <w:rFonts w:ascii="Microsoft YaHei" w:hAnsi="Microsoft YaHei" w:eastAsia="Microsoft YaHei"/>
                <w:color w:val="1F2933"/>
                <w:sz w:val="18"/>
              </w:rPr>
              <w:t>P-01 先读规范</w:t>
            </w:r>
          </w:p>
        </w:tc>
        <w:tc>
          <w:tcPr>
            <w:tcW w:type="dxa" w:w="7260"/>
            <w:vAlign w:val="center"/>
          </w:tcPr>
          <w:p>
            <w:pPr>
              <w:spacing w:before="20" w:after="40" w:line="252" w:lineRule="auto"/>
            </w:pPr>
            <w:r>
              <w:rPr>
                <w:rFonts w:ascii="Microsoft YaHei" w:hAnsi="Microsoft YaHei" w:eastAsia="Microsoft YaHei"/>
                <w:color w:val="1F2933"/>
                <w:sz w:val="18"/>
              </w:rPr>
              <w:t>每次任务开始前 MUST 完整读取最新规范；不得只依赖对话摘要、记忆或代码猜测。</w:t>
            </w:r>
          </w:p>
        </w:tc>
      </w:tr>
      <w:tr>
        <w:trPr>
          <w:cantSplit/>
        </w:trPr>
        <w:tc>
          <w:tcPr>
            <w:tcW w:type="dxa" w:w="2100"/>
            <w:vAlign w:val="center"/>
          </w:tcPr>
          <w:p>
            <w:pPr>
              <w:spacing w:before="20" w:after="40" w:line="252" w:lineRule="auto"/>
            </w:pPr>
            <w:r>
              <w:rPr>
                <w:rFonts w:ascii="Microsoft YaHei" w:hAnsi="Microsoft YaHei" w:eastAsia="Microsoft YaHei"/>
                <w:color w:val="1F2933"/>
                <w:sz w:val="18"/>
              </w:rPr>
              <w:t>P-02 复述边界</w:t>
            </w:r>
          </w:p>
        </w:tc>
        <w:tc>
          <w:tcPr>
            <w:tcW w:type="dxa" w:w="7260"/>
            <w:vAlign w:val="center"/>
          </w:tcPr>
          <w:p>
            <w:pPr>
              <w:spacing w:before="20" w:after="40" w:line="252" w:lineRule="auto"/>
            </w:pPr>
            <w:r>
              <w:rPr>
                <w:rFonts w:ascii="Microsoft YaHei" w:hAnsi="Microsoft YaHei" w:eastAsia="Microsoft YaHei"/>
                <w:color w:val="1F2933"/>
                <w:sz w:val="18"/>
              </w:rPr>
              <w:t>实施前 SHOULD 用简短文字确认本次目标、范围外内容与涉及的暂定/TBD。</w:t>
            </w:r>
          </w:p>
        </w:tc>
      </w:tr>
      <w:tr>
        <w:trPr>
          <w:cantSplit/>
        </w:trPr>
        <w:tc>
          <w:tcPr>
            <w:tcW w:type="dxa" w:w="2100"/>
            <w:vAlign w:val="center"/>
          </w:tcPr>
          <w:p>
            <w:pPr>
              <w:spacing w:before="20" w:after="40" w:line="252" w:lineRule="auto"/>
            </w:pPr>
            <w:r>
              <w:rPr>
                <w:rFonts w:ascii="Microsoft YaHei" w:hAnsi="Microsoft YaHei" w:eastAsia="Microsoft YaHei"/>
                <w:color w:val="1F2933"/>
                <w:sz w:val="18"/>
              </w:rPr>
              <w:t>P-03 最小改动</w:t>
            </w:r>
          </w:p>
        </w:tc>
        <w:tc>
          <w:tcPr>
            <w:tcW w:type="dxa" w:w="7260"/>
            <w:vAlign w:val="center"/>
          </w:tcPr>
          <w:p>
            <w:pPr>
              <w:spacing w:before="20" w:after="40" w:line="252" w:lineRule="auto"/>
            </w:pPr>
            <w:r>
              <w:rPr>
                <w:rFonts w:ascii="Microsoft YaHei" w:hAnsi="Microsoft YaHei" w:eastAsia="Microsoft YaHei"/>
                <w:color w:val="1F2933"/>
                <w:sz w:val="18"/>
              </w:rPr>
              <w:t>MUST 只修改完成当前任务所必需的最小范围；不得顺便重写架构、改风格或扩功能。</w:t>
            </w:r>
          </w:p>
        </w:tc>
      </w:tr>
      <w:tr>
        <w:trPr>
          <w:cantSplit/>
        </w:trPr>
        <w:tc>
          <w:tcPr>
            <w:tcW w:type="dxa" w:w="2100"/>
            <w:vAlign w:val="center"/>
          </w:tcPr>
          <w:p>
            <w:pPr>
              <w:spacing w:before="20" w:after="40" w:line="252" w:lineRule="auto"/>
            </w:pPr>
            <w:r>
              <w:rPr>
                <w:rFonts w:ascii="Microsoft YaHei" w:hAnsi="Microsoft YaHei" w:eastAsia="Microsoft YaHei"/>
                <w:color w:val="1F2933"/>
                <w:sz w:val="18"/>
              </w:rPr>
              <w:t>P-04 禁止扩需求</w:t>
            </w:r>
          </w:p>
        </w:tc>
        <w:tc>
          <w:tcPr>
            <w:tcW w:type="dxa" w:w="7260"/>
            <w:vAlign w:val="center"/>
          </w:tcPr>
          <w:p>
            <w:pPr>
              <w:spacing w:before="20" w:after="40" w:line="252" w:lineRule="auto"/>
            </w:pPr>
            <w:r>
              <w:rPr>
                <w:rFonts w:ascii="Microsoft YaHei" w:hAnsi="Microsoft YaHei" w:eastAsia="Microsoft YaHei"/>
                <w:color w:val="1F2933"/>
                <w:sz w:val="18"/>
              </w:rPr>
              <w:t>MUST NOT 擅自加入“更完整”“更好玩”“行业常见”功能。建议可单独提出，但未批准前不得实现。</w:t>
            </w:r>
          </w:p>
        </w:tc>
      </w:tr>
      <w:tr>
        <w:trPr>
          <w:cantSplit/>
        </w:trPr>
        <w:tc>
          <w:tcPr>
            <w:tcW w:type="dxa" w:w="2100"/>
            <w:vAlign w:val="center"/>
          </w:tcPr>
          <w:p>
            <w:pPr>
              <w:spacing w:before="20" w:after="40" w:line="252" w:lineRule="auto"/>
            </w:pPr>
            <w:r>
              <w:rPr>
                <w:rFonts w:ascii="Microsoft YaHei" w:hAnsi="Microsoft YaHei" w:eastAsia="Microsoft YaHei"/>
                <w:color w:val="1F2933"/>
                <w:sz w:val="18"/>
              </w:rPr>
              <w:t>P-05 歧义停下</w:t>
            </w:r>
          </w:p>
        </w:tc>
        <w:tc>
          <w:tcPr>
            <w:tcW w:type="dxa" w:w="7260"/>
            <w:vAlign w:val="center"/>
          </w:tcPr>
          <w:p>
            <w:pPr>
              <w:spacing w:before="20" w:after="40" w:line="252" w:lineRule="auto"/>
            </w:pPr>
            <w:r>
              <w:rPr>
                <w:rFonts w:ascii="Microsoft YaHei" w:hAnsi="Microsoft YaHei" w:eastAsia="Microsoft YaHei"/>
                <w:color w:val="1F2933"/>
                <w:sz w:val="18"/>
              </w:rPr>
              <w:t>遇到会改变玩家行为、经济、状态、数据兼容或验收结果的歧义，MUST 停止相关实现并请求产品决策。</w:t>
            </w:r>
          </w:p>
        </w:tc>
      </w:tr>
      <w:tr>
        <w:trPr>
          <w:cantSplit/>
        </w:trPr>
        <w:tc>
          <w:tcPr>
            <w:tcW w:type="dxa" w:w="2100"/>
            <w:vAlign w:val="center"/>
          </w:tcPr>
          <w:p>
            <w:pPr>
              <w:spacing w:before="20" w:after="40" w:line="252" w:lineRule="auto"/>
            </w:pPr>
            <w:r>
              <w:rPr>
                <w:rFonts w:ascii="Microsoft YaHei" w:hAnsi="Microsoft YaHei" w:eastAsia="Microsoft YaHei"/>
                <w:color w:val="1F2933"/>
                <w:sz w:val="18"/>
              </w:rPr>
              <w:t>P-06 不替产品决策</w:t>
            </w:r>
          </w:p>
        </w:tc>
        <w:tc>
          <w:tcPr>
            <w:tcW w:type="dxa" w:w="7260"/>
            <w:vAlign w:val="center"/>
          </w:tcPr>
          <w:p>
            <w:pPr>
              <w:spacing w:before="20" w:after="40" w:line="252" w:lineRule="auto"/>
            </w:pPr>
            <w:r>
              <w:rPr>
                <w:rFonts w:ascii="Microsoft YaHei" w:hAnsi="Microsoft YaHei" w:eastAsia="Microsoft YaHei"/>
                <w:color w:val="1F2933"/>
                <w:sz w:val="18"/>
              </w:rPr>
              <w:t>TBD 不得用默认值、临时常量、隐藏开关、第三方模板或助手历史建议填补。</w:t>
            </w:r>
          </w:p>
        </w:tc>
      </w:tr>
      <w:tr>
        <w:trPr>
          <w:cantSplit/>
        </w:trPr>
        <w:tc>
          <w:tcPr>
            <w:tcW w:type="dxa" w:w="2100"/>
            <w:vAlign w:val="center"/>
          </w:tcPr>
          <w:p>
            <w:pPr>
              <w:spacing w:before="20" w:after="40" w:line="252" w:lineRule="auto"/>
            </w:pPr>
            <w:r>
              <w:rPr>
                <w:rFonts w:ascii="Microsoft YaHei" w:hAnsi="Microsoft YaHei" w:eastAsia="Microsoft YaHei"/>
                <w:color w:val="1F2933"/>
                <w:sz w:val="18"/>
              </w:rPr>
              <w:t>P-07 保留用户改动</w:t>
            </w:r>
          </w:p>
        </w:tc>
        <w:tc>
          <w:tcPr>
            <w:tcW w:type="dxa" w:w="7260"/>
            <w:vAlign w:val="center"/>
          </w:tcPr>
          <w:p>
            <w:pPr>
              <w:spacing w:before="20" w:after="40" w:line="252" w:lineRule="auto"/>
            </w:pPr>
            <w:r>
              <w:rPr>
                <w:rFonts w:ascii="Microsoft YaHei" w:hAnsi="Microsoft YaHei" w:eastAsia="Microsoft YaHei"/>
                <w:color w:val="1F2933"/>
                <w:sz w:val="18"/>
              </w:rPr>
              <w:t>MUST 先检查现有工作区改动；不得覆盖、删除或回退不属于当前任务的用户改动。</w:t>
            </w:r>
          </w:p>
        </w:tc>
      </w:tr>
      <w:tr>
        <w:trPr>
          <w:cantSplit/>
        </w:trPr>
        <w:tc>
          <w:tcPr>
            <w:tcW w:type="dxa" w:w="2100"/>
            <w:vAlign w:val="center"/>
          </w:tcPr>
          <w:p>
            <w:pPr>
              <w:spacing w:before="20" w:after="40" w:line="252" w:lineRule="auto"/>
            </w:pPr>
            <w:r>
              <w:rPr>
                <w:rFonts w:ascii="Microsoft YaHei" w:hAnsi="Microsoft YaHei" w:eastAsia="Microsoft YaHei"/>
                <w:color w:val="1F2933"/>
                <w:sz w:val="18"/>
              </w:rPr>
              <w:t>P-08 数据优先</w:t>
            </w:r>
          </w:p>
        </w:tc>
        <w:tc>
          <w:tcPr>
            <w:tcW w:type="dxa" w:w="7260"/>
            <w:vAlign w:val="center"/>
          </w:tcPr>
          <w:p>
            <w:pPr>
              <w:spacing w:before="20" w:after="40" w:line="252" w:lineRule="auto"/>
            </w:pPr>
            <w:r>
              <w:rPr>
                <w:rFonts w:ascii="Microsoft YaHei" w:hAnsi="Microsoft YaHei" w:eastAsia="Microsoft YaHei"/>
                <w:color w:val="1F2933"/>
                <w:sz w:val="18"/>
              </w:rPr>
              <w:t>产品数值与内容 SHOULD 配置化；不得把多个副本散落在 UI、逻辑和测试。</w:t>
            </w:r>
          </w:p>
        </w:tc>
      </w:tr>
      <w:tr>
        <w:trPr>
          <w:cantSplit/>
        </w:trPr>
        <w:tc>
          <w:tcPr>
            <w:tcW w:type="dxa" w:w="2100"/>
            <w:vAlign w:val="center"/>
          </w:tcPr>
          <w:p>
            <w:pPr>
              <w:spacing w:before="20" w:after="40" w:line="252" w:lineRule="auto"/>
            </w:pPr>
            <w:r>
              <w:rPr>
                <w:rFonts w:ascii="Microsoft YaHei" w:hAnsi="Microsoft YaHei" w:eastAsia="Microsoft YaHei"/>
                <w:color w:val="1F2933"/>
                <w:sz w:val="18"/>
              </w:rPr>
              <w:t>P-09 不变量优先</w:t>
            </w:r>
          </w:p>
        </w:tc>
        <w:tc>
          <w:tcPr>
            <w:tcW w:type="dxa" w:w="7260"/>
            <w:vAlign w:val="center"/>
          </w:tcPr>
          <w:p>
            <w:pPr>
              <w:spacing w:before="20" w:after="40" w:line="252" w:lineRule="auto"/>
            </w:pPr>
            <w:r>
              <w:rPr>
                <w:rFonts w:ascii="Microsoft YaHei" w:hAnsi="Microsoft YaHei" w:eastAsia="Microsoft YaHei"/>
                <w:color w:val="1F2933"/>
                <w:sz w:val="18"/>
              </w:rPr>
              <w:t>涉及物品、格子、结算、货币的改动 MUST 先列出受影响不变量，并提供对应测试。</w:t>
            </w:r>
          </w:p>
        </w:tc>
      </w:tr>
      <w:tr>
        <w:trPr>
          <w:cantSplit/>
        </w:trPr>
        <w:tc>
          <w:tcPr>
            <w:tcW w:type="dxa" w:w="2100"/>
            <w:vAlign w:val="center"/>
          </w:tcPr>
          <w:p>
            <w:pPr>
              <w:spacing w:before="20" w:after="40" w:line="252" w:lineRule="auto"/>
            </w:pPr>
            <w:r>
              <w:rPr>
                <w:rFonts w:ascii="Microsoft YaHei" w:hAnsi="Microsoft YaHei" w:eastAsia="Microsoft YaHei"/>
                <w:color w:val="1F2933"/>
                <w:sz w:val="18"/>
              </w:rPr>
              <w:t>P-10 验证诚实</w:t>
            </w:r>
          </w:p>
        </w:tc>
        <w:tc>
          <w:tcPr>
            <w:tcW w:type="dxa" w:w="7260"/>
            <w:vAlign w:val="center"/>
          </w:tcPr>
          <w:p>
            <w:pPr>
              <w:spacing w:before="20" w:after="40" w:line="252" w:lineRule="auto"/>
            </w:pPr>
            <w:r>
              <w:rPr>
                <w:rFonts w:ascii="Microsoft YaHei" w:hAnsi="Microsoft YaHei" w:eastAsia="Microsoft YaHei"/>
                <w:color w:val="1F2933"/>
                <w:sz w:val="18"/>
              </w:rPr>
              <w:t>MUST 明确区分已运行、未运行、通过、失败和受限测试；不得虚构结果。</w:t>
            </w:r>
          </w:p>
        </w:tc>
      </w:tr>
      <w:tr>
        <w:trPr>
          <w:cantSplit/>
        </w:trPr>
        <w:tc>
          <w:tcPr>
            <w:tcW w:type="dxa" w:w="2100"/>
            <w:vAlign w:val="center"/>
          </w:tcPr>
          <w:p>
            <w:pPr>
              <w:spacing w:before="20" w:after="40" w:line="252" w:lineRule="auto"/>
            </w:pPr>
            <w:r>
              <w:rPr>
                <w:rFonts w:ascii="Microsoft YaHei" w:hAnsi="Microsoft YaHei" w:eastAsia="Microsoft YaHei"/>
                <w:color w:val="1F2933"/>
                <w:sz w:val="18"/>
              </w:rPr>
              <w:t>P-11 交付说明</w:t>
            </w:r>
          </w:p>
        </w:tc>
        <w:tc>
          <w:tcPr>
            <w:tcW w:type="dxa" w:w="7260"/>
            <w:vAlign w:val="center"/>
          </w:tcPr>
          <w:p>
            <w:pPr>
              <w:spacing w:before="20" w:after="40" w:line="252" w:lineRule="auto"/>
            </w:pPr>
            <w:r>
              <w:rPr>
                <w:rFonts w:ascii="Microsoft YaHei" w:hAnsi="Microsoft YaHei" w:eastAsia="Microsoft YaHei"/>
                <w:color w:val="1F2933"/>
                <w:sz w:val="18"/>
              </w:rPr>
              <w:t>每次改动 MUST 说明：改动内容、影响范围、未改内容、验证方法与结果、剩余风险、需要产品决定的事项。</w:t>
            </w:r>
          </w:p>
        </w:tc>
      </w:tr>
      <w:tr>
        <w:trPr>
          <w:cantSplit/>
        </w:trPr>
        <w:tc>
          <w:tcPr>
            <w:tcW w:type="dxa" w:w="2100"/>
            <w:vAlign w:val="center"/>
          </w:tcPr>
          <w:p>
            <w:pPr>
              <w:spacing w:before="20" w:after="40" w:line="252" w:lineRule="auto"/>
            </w:pPr>
            <w:r>
              <w:rPr>
                <w:rFonts w:ascii="Microsoft YaHei" w:hAnsi="Microsoft YaHei" w:eastAsia="Microsoft YaHei"/>
                <w:color w:val="1F2933"/>
                <w:sz w:val="18"/>
              </w:rPr>
              <w:t>P-12 规范同步</w:t>
            </w:r>
          </w:p>
        </w:tc>
        <w:tc>
          <w:tcPr>
            <w:tcW w:type="dxa" w:w="7260"/>
            <w:vAlign w:val="center"/>
          </w:tcPr>
          <w:p>
            <w:pPr>
              <w:spacing w:before="20" w:after="40" w:line="252" w:lineRule="auto"/>
            </w:pPr>
            <w:r>
              <w:rPr>
                <w:rFonts w:ascii="Microsoft YaHei" w:hAnsi="Microsoft YaHei" w:eastAsia="Microsoft YaHei"/>
                <w:color w:val="1F2933"/>
                <w:sz w:val="18"/>
              </w:rPr>
              <w:t>产品规则一旦获批变更，MUST 先或同时更新本文与变更记录，避免代码成为唯一事实来源。</w:t>
            </w:r>
          </w:p>
        </w:tc>
      </w:tr>
      <w:tr>
        <w:tc>
          <w:tcPr>
            <w:tcW w:type="dxa" w:w="2100"/>
            <w:vAlign w:val="center"/>
          </w:tcPr>
          <w:p>
            <w:r>
              <w:t>P-13 先复现再修复</w:t>
            </w:r>
          </w:p>
        </w:tc>
        <w:tc>
          <w:tcPr>
            <w:tcW w:type="dxa" w:w="7260"/>
            <w:vAlign w:val="center"/>
          </w:tcPr>
          <w:p>
            <w:r>
              <w:t>BUG修复前 MUST 复现并高置信定位根因；不确定时停工说明，不得大范围试错。</w:t>
            </w:r>
          </w:p>
        </w:tc>
      </w:tr>
      <w:tr>
        <w:tc>
          <w:tcPr>
            <w:tcW w:type="dxa" w:w="2100"/>
            <w:vAlign w:val="center"/>
          </w:tcPr>
          <w:p>
            <w:r>
              <w:t>P-14 受保护区审批</w:t>
            </w:r>
          </w:p>
        </w:tc>
        <w:tc>
          <w:tcPr>
            <w:tcW w:type="dxa" w:w="7260"/>
            <w:vAlign w:val="center"/>
          </w:tcPr>
          <w:p>
            <w:r>
              <w:t>修改状态机、格子/库存、结算、货币、共享模型或底层公共逻辑前 MUST 申请批准并列回归范围。</w:t>
            </w:r>
          </w:p>
        </w:tc>
      </w:tr>
      <w:tr>
        <w:tc>
          <w:tcPr>
            <w:tcW w:type="dxa" w:w="2100"/>
            <w:vAlign w:val="center"/>
          </w:tcPr>
          <w:p>
            <w:r>
              <w:t>P-15 禁止伪修复</w:t>
            </w:r>
          </w:p>
        </w:tc>
        <w:tc>
          <w:tcPr>
            <w:tcW w:type="dxa" w:w="7260"/>
            <w:vAlign w:val="center"/>
          </w:tcPr>
          <w:p>
            <w:r>
              <w:t>MUST NOT 吞异常、关闭功能、删除校验、放宽不变量或修改测试迎合错误实现。</w:t>
            </w:r>
          </w:p>
        </w:tc>
      </w:tr>
      <w:tr>
        <w:tc>
          <w:tcPr>
            <w:tcW w:type="dxa" w:w="2100"/>
            <w:vAlign w:val="center"/>
          </w:tcPr>
          <w:p>
            <w:r>
              <w:t>P-16 Git可回退</w:t>
            </w:r>
          </w:p>
        </w:tc>
        <w:tc>
          <w:tcPr>
            <w:tcW w:type="dxa" w:w="7260"/>
            <w:vAlign w:val="center"/>
          </w:tcPr>
          <w:p>
            <w:r>
              <w:t>开发前确认仓库和基线；工作包前检查状态；不得覆盖无关未提交改动；高风险改动前必须可回退。</w:t>
            </w:r>
          </w:p>
        </w:tc>
      </w:tr>
      <w:tr>
        <w:tc>
          <w:tcPr>
            <w:tcW w:type="dxa" w:w="2100"/>
            <w:vAlign w:val="center"/>
          </w:tcPr>
          <w:p>
            <w:r>
              <w:t>P-17 产品讨论反对义务</w:t>
            </w:r>
          </w:p>
        </w:tc>
        <w:tc>
          <w:tcPr>
            <w:tcW w:type="dxa" w:w="7260"/>
            <w:vAlign w:val="center"/>
          </w:tcPr>
          <w:p>
            <w:r>
              <w:t>项目经理发现明显风险时 MUST 先说明反对理由、影响和替代方案；用户确认后才能进入已确认/暂定。</w:t>
            </w:r>
          </w:p>
        </w:tc>
      </w:tr>
    </w:tbl>
    <w:p>
      <w:pPr>
        <w:spacing w:after="0"/>
      </w:pPr>
    </w:p>
    <w:p>
      <w:pPr>
        <w:pStyle w:val="Heading2"/>
        <w:keepNext/>
      </w:pPr>
      <w:r>
        <w:t>10.1 Codex 遇到 TBD 时的标准提问格式</w:t>
      </w:r>
    </w:p>
    <w:p>
      <w:pPr>
        <w:keepLines w:val="0"/>
      </w:pPr>
      <w:r>
        <w:rPr>
          <w:rFonts w:ascii="Microsoft YaHei" w:hAnsi="Microsoft YaHei" w:eastAsia="Microsoft YaHei"/>
          <w:color w:val="1F2933"/>
        </w:rPr>
        <w:t>Codex MUST 用最少但足够的信息提问，不得夹带默认决策：</w:t>
      </w:r>
    </w:p>
    <w:p>
      <w:pPr>
        <w:keepLines/>
        <w:spacing w:before="80" w:after="160"/>
        <w:ind w:left="144" w:right="86"/>
        <w:shd w:fill="FFF7E6"/>
        <w:pBdr>
          <w:left w:val="single" w:sz="18" w:space="6" w:color="7A5A00"/>
        </w:pBdr>
      </w:pPr>
      <w:r>
        <w:rPr>
          <w:rFonts w:ascii="Microsoft YaHei" w:hAnsi="Microsoft YaHei" w:eastAsia="Microsoft YaHei"/>
          <w:b/>
          <w:color w:val="7A5A00"/>
          <w:sz w:val="21"/>
        </w:rPr>
        <w:t xml:space="preserve">提问模板  </w:t>
      </w:r>
      <w:r>
        <w:rPr>
          <w:rFonts w:ascii="Microsoft YaHei" w:hAnsi="Microsoft YaHei" w:eastAsia="Microsoft YaHei"/>
          <w:color w:val="1F2933"/>
          <w:sz w:val="21"/>
        </w:rPr>
        <w:t>当前任务依赖【未确定事项】。现有规范只确认【已知边界】，尚未确认【需要决策的具体点】。该选择会影响【行为/数据/测试】。请产品负责人确认规则；在确认前，我将暂停该部分，不会写入默认实现。</w:t>
      </w:r>
    </w:p>
    <w:p>
      <w:pPr>
        <w:pStyle w:val="Heading2"/>
        <w:keepNext/>
      </w:pPr>
      <w:r>
        <w:t>10.2 每次交付的标准报告格式</w:t>
      </w:r>
    </w:p>
    <w:p>
      <w:pPr>
        <w:pStyle w:val="ListBullet"/>
      </w:pPr>
      <w:r>
        <w:rPr>
          <w:rFonts w:ascii="Microsoft YaHei" w:hAnsi="Microsoft YaHei" w:eastAsia="Microsoft YaHei"/>
          <w:color w:val="1F2933"/>
        </w:rPr>
        <w:t>结果：一句话说明是否完成。</w:t>
      </w:r>
    </w:p>
    <w:p>
      <w:pPr>
        <w:pStyle w:val="ListBullet"/>
      </w:pPr>
      <w:r>
        <w:rPr>
          <w:rFonts w:ascii="Microsoft YaHei" w:hAnsi="Microsoft YaHei" w:eastAsia="Microsoft YaHei"/>
          <w:color w:val="1F2933"/>
        </w:rPr>
        <w:t>改动：列出实际修改的文件/模块与行为。</w:t>
      </w:r>
    </w:p>
    <w:p>
      <w:pPr>
        <w:pStyle w:val="ListBullet"/>
      </w:pPr>
      <w:r>
        <w:rPr>
          <w:rFonts w:ascii="Microsoft YaHei" w:hAnsi="Microsoft YaHei" w:eastAsia="Microsoft YaHei"/>
          <w:color w:val="1F2933"/>
        </w:rPr>
        <w:t>影响：列出受影响流程、数据与不变量。</w:t>
      </w:r>
    </w:p>
    <w:p>
      <w:pPr>
        <w:pStyle w:val="ListBullet"/>
      </w:pPr>
      <w:r>
        <w:rPr>
          <w:rFonts w:ascii="Microsoft YaHei" w:hAnsi="Microsoft YaHei" w:eastAsia="Microsoft YaHei"/>
          <w:color w:val="1F2933"/>
        </w:rPr>
        <w:t>未改：明确范围外或刻意保持不变的内容。</w:t>
      </w:r>
    </w:p>
    <w:p>
      <w:pPr>
        <w:pStyle w:val="ListBullet"/>
      </w:pPr>
      <w:r>
        <w:rPr>
          <w:rFonts w:ascii="Microsoft YaHei" w:hAnsi="Microsoft YaHei" w:eastAsia="Microsoft YaHei"/>
          <w:color w:val="1F2933"/>
        </w:rPr>
        <w:t>验证：列出已实际运行的测试/手测步骤及结果。</w:t>
      </w:r>
    </w:p>
    <w:p>
      <w:pPr>
        <w:pStyle w:val="ListBullet"/>
      </w:pPr>
      <w:r>
        <w:rPr>
          <w:rFonts w:ascii="Microsoft YaHei" w:hAnsi="Microsoft YaHei" w:eastAsia="Microsoft YaHei"/>
          <w:color w:val="1F2933"/>
        </w:rPr>
        <w:t>剩余事项：列出风险、失败测试、TBD 与需要产品决策的内容。</w:t>
      </w:r>
    </w:p>
    <w:p>
      <w:pPr>
        <w:pStyle w:val="Heading2"/>
        <w:keepNext/>
      </w:pPr>
      <w:r>
        <w:t>10.3 项目经理 / 执行层协作原则</w:t>
      </w:r>
    </w:p>
    <w:p>
      <w:pPr>
        <w:pStyle w:val="ListBullet"/>
      </w:pPr>
      <w:r>
        <w:t>产品负责人（用户）：负责提出需求与想法，并对产品规则、范围、优先级与 TBD 作最终决策。无需负责独立解决编程问题。</w:t>
      </w:r>
    </w:p>
    <w:p>
      <w:pPr>
        <w:pStyle w:val="ListBullet"/>
      </w:pPr>
      <w:r>
        <w:t>项目经理：负责质疑明显不合理方案、说明风险与替代方案；维护规范与状态；拆分工作包；控制依赖、变更与验收。项目经理不得把建议伪装成已批准决策。</w:t>
      </w:r>
    </w:p>
    <w:p>
      <w:pPr>
        <w:pStyle w:val="ListBullet"/>
      </w:pPr>
      <w:r>
        <w:t>执行层 Codex：只按最新规范与已批准工作包实施、验证和报告。MUST NOT 替产品负责人作产品决定，也不得把实现便利、行业惯例或历史助手建议写成产品规则。</w:t>
      </w:r>
    </w:p>
    <w:p>
      <w:pPr>
        <w:pStyle w:val="Heading2"/>
        <w:keepNext/>
      </w:pPr>
      <w:r>
        <w:t>10.4 产品讨论与反对义务</w:t>
      </w:r>
    </w:p>
    <w:p>
      <w:pPr>
        <w:pStyle w:val="ListBullet"/>
      </w:pPr>
      <w:r>
        <w:t>项目经理 MUST NOT 一味顺从产品负责人。发现明显实现成本、技术债、规则冲突、经济风险、交互风险、固定最优解或未来维护风险时，MUST 先提出反对理由、影响与至少一个可行替代方向。</w:t>
      </w:r>
    </w:p>
    <w:p>
      <w:pPr>
        <w:pStyle w:val="ListBullet"/>
      </w:pPr>
      <w:r>
        <w:t>讨论后产品负责人仍明确确认的方案，才可进入“已确认”或“暂定”；未确认前保持提案/TBD，不得交给执行层实现。</w:t>
      </w:r>
    </w:p>
    <w:p>
      <w:pPr>
        <w:pStyle w:val="ListBullet"/>
      </w:pPr>
      <w:r>
        <w:t>执行层若在实现中发现同类风险，MUST 暂停受影响部分并上报，不得用代码暗自改变产品决策。</w:t>
      </w:r>
    </w:p>
    <w:p>
      <w:pPr>
        <w:pStyle w:val="Heading2"/>
        <w:keepNext/>
      </w:pPr>
      <w:r>
        <w:t>10.5 缺陷修复与变更安全协议</w:t>
      </w:r>
    </w:p>
    <w:p>
      <w:pPr>
        <w:pStyle w:val="ListBullet"/>
      </w:pPr>
      <w:r>
        <w:t>修复前 MUST 先复现问题并定位根因；仅凭现象猜测不得进入修改。必须声明根因证据、影响范围、拟改文件/模块和明确不修改范围。</w:t>
      </w:r>
    </w:p>
    <w:p>
      <w:pPr>
        <w:pStyle w:val="ListBullet"/>
      </w:pPr>
      <w:r>
        <w:t>默认采用最小修复；MUST NOT 顺手重构、统一风格、升级依赖、移动文件或清理无关代码。任何“为了方便”而扩大范围均不允许。</w:t>
      </w:r>
    </w:p>
    <w:p>
      <w:pPr>
        <w:pStyle w:val="ListBullet"/>
      </w:pPr>
      <w:r>
        <w:t>状态机、库存/格子、ItemInstance生命周期、结算、货币事务、共享数据模型、集中配置入口与跨模块公共基础设施为受保护核心区。确需修改时，MUST 先说明局部修复为何不足、影响、回归范围与回滚方案，并请求批准。</w:t>
      </w:r>
    </w:p>
    <w:p>
      <w:pPr>
        <w:pStyle w:val="ListBullet"/>
      </w:pPr>
      <w:r>
        <w:t>MUST NOT 通过吞异常、关闭功能、删除校验、放宽不变量、隐藏错误或修改测试迎合错误实现来“修复”。</w:t>
      </w:r>
    </w:p>
    <w:p>
      <w:pPr>
        <w:pStyle w:val="ListBullet"/>
      </w:pPr>
      <w:r>
        <w:t>修复后 MUST 验证原 BUG 消失，并验证至少一条正常路径、相关边界路径和受影响共享逻辑未回归。</w:t>
      </w:r>
    </w:p>
    <w:p>
      <w:pPr>
        <w:pStyle w:val="ListBullet"/>
      </w:pPr>
      <w:r>
        <w:t>无法高置信度定位根因时 MUST 停工，说明已知事实、不确定项和下一步只读诊断建议；不得大范围试错。</w:t>
      </w:r>
    </w:p>
    <w:p>
      <w:pPr>
        <w:pStyle w:val="Heading1"/>
        <w:keepNext/>
        <w:pageBreakBefore/>
      </w:pPr>
      <w:r>
        <w:t>11. V0.1 开发工作流程与执行细则</w:t>
      </w:r>
    </w:p>
    <w:p>
      <w:pPr/>
      <w:r>
        <w:t>目的  让不懂编程的产品负责人也能把任务安全交给 Codex。所有开发、BUG修复、文档同步和高风险变更 MUST 进入以下闭环；不得跳步或以“任务很小”为由省略影响声明与验证。</w:t>
      </w:r>
    </w:p>
    <w:p>
      <w:pPr>
        <w:pStyle w:val="Heading2"/>
        <w:keepNext/>
      </w:pPr>
      <w:r>
        <w:t>11.1 工作包边界与依赖顺序</w:t>
      </w:r>
    </w:p>
    <w:p>
      <w:pPr>
        <w:pStyle w:val="ListBullet"/>
      </w:pPr>
      <w:r>
        <w:t>一个工作包 SHOULD 只有一个主要结果、一个主要责任模块和一组可在一次交付中清楚验收的条件。若无法用一句话说明完成标准，必须继续拆分。</w:t>
      </w:r>
    </w:p>
    <w:p>
      <w:pPr>
        <w:pStyle w:val="ListBullet"/>
      </w:pPr>
      <w:r>
        <w:t>默认单包不得同时改动多个核心系统。跨 UI、状态机、库存、结算、经济或持久化的工作，应按依赖拆为连续小包：数据/接口 → 核心逻辑 → UI接入 → 集成与回归。</w:t>
      </w:r>
    </w:p>
    <w:p>
      <w:pPr>
        <w:pStyle w:val="ListBullet"/>
      </w:pPr>
      <w:r>
        <w:t>前置工作包未通过验收，后置包不得开始。不得用并行大改掩盖依赖不清。</w:t>
      </w:r>
    </w:p>
    <w:p>
      <w:pPr>
        <w:pStyle w:val="ListBullet"/>
      </w:pPr>
      <w:r>
        <w:t>任何“顺便重构、顺便升级、顺便统一、为以后预留完整系统”的扩大范围都不允许；建议必须另立提案并等待批准。</w:t>
      </w:r>
    </w:p>
    <w:p>
      <w:pPr>
        <w:pStyle w:val="Heading2"/>
        <w:keepNext/>
      </w:pPr>
      <w:r>
        <w:t>11.2 强制闭环（进入/退出条件与 Codex 输出）</w:t>
      </w:r>
    </w:p>
    <w:p>
      <w:pPr>
        <w:pStyle w:val="Heading3"/>
        <w:keepNext/>
      </w:pPr>
      <w:r>
        <w:t>步骤1：需求确认</w:t>
      </w:r>
    </w:p>
    <w:p>
      <w:pPr/>
      <w:r>
        <w:rPr>
          <w:b/>
        </w:rPr>
        <w:t>进入条件：</w:t>
      </w:r>
      <w:r>
        <w:t>收到用户明确目标；已读取最新规范。</w:t>
      </w:r>
    </w:p>
    <w:p>
      <w:pPr/>
      <w:r>
        <w:rPr>
          <w:b/>
        </w:rPr>
        <w:t>Codex必须输出：</w:t>
      </w:r>
      <w:r>
        <w:t>复述目标、用户可见结果、范围外内容与验收口径。</w:t>
      </w:r>
    </w:p>
    <w:p>
      <w:pPr/>
      <w:r>
        <w:rPr>
          <w:b/>
        </w:rPr>
        <w:t>退出条件：</w:t>
      </w:r>
      <w:r>
        <w:t>目标可以用一句话判断完成；没有冲突。</w:t>
      </w:r>
    </w:p>
    <w:p>
      <w:pPr/>
      <w:r>
        <w:rPr>
          <w:b/>
        </w:rPr>
        <w:t>必须停工提问：</w:t>
      </w:r>
      <w:r>
        <w:t>目标、范围或优先级会导致不同结果且无法从规范确定。</w:t>
      </w:r>
    </w:p>
    <w:p>
      <w:pPr>
        <w:pStyle w:val="Heading3"/>
        <w:keepNext/>
      </w:pPr>
      <w:r>
        <w:t>步骤2：规范 / TBD 检查</w:t>
      </w:r>
    </w:p>
    <w:p>
      <w:pPr/>
      <w:r>
        <w:rPr>
          <w:b/>
        </w:rPr>
        <w:t>进入条件：</w:t>
      </w:r>
      <w:r>
        <w:t>需求已确认。</w:t>
      </w:r>
    </w:p>
    <w:p>
      <w:pPr/>
      <w:r>
        <w:rPr>
          <w:b/>
        </w:rPr>
        <w:t>Codex必须输出：</w:t>
      </w:r>
      <w:r>
        <w:t>列出相关规范条款、状态（已确认/暂定/TBD）与冲突。</w:t>
      </w:r>
    </w:p>
    <w:p>
      <w:pPr/>
      <w:r>
        <w:rPr>
          <w:b/>
        </w:rPr>
        <w:t>退出条件：</w:t>
      </w:r>
      <w:r>
        <w:t>不存在阻塞性TBD；或已把可解耦部分明确隔离。</w:t>
      </w:r>
    </w:p>
    <w:p>
      <w:pPr/>
      <w:r>
        <w:rPr>
          <w:b/>
        </w:rPr>
        <w:t>必须停工提问：</w:t>
      </w:r>
      <w:r>
        <w:t>任务依赖TBD、用户指令与规范冲突、任务说明越权。</w:t>
      </w:r>
    </w:p>
    <w:p>
      <w:pPr>
        <w:pStyle w:val="Heading3"/>
        <w:keepNext/>
      </w:pPr>
      <w:r>
        <w:t>步骤3：任务拆分与依赖排序</w:t>
      </w:r>
    </w:p>
    <w:p>
      <w:pPr/>
      <w:r>
        <w:rPr>
          <w:b/>
        </w:rPr>
        <w:t>进入条件：</w:t>
      </w:r>
      <w:r>
        <w:t>规则可实施。</w:t>
      </w:r>
    </w:p>
    <w:p>
      <w:pPr/>
      <w:r>
        <w:rPr>
          <w:b/>
        </w:rPr>
        <w:t>Codex必须输出：</w:t>
      </w:r>
      <w:r>
        <w:t>给出小工作包、依赖顺序、每包验收与不修改范围。</w:t>
      </w:r>
    </w:p>
    <w:p>
      <w:pPr/>
      <w:r>
        <w:rPr>
          <w:b/>
        </w:rPr>
        <w:t>退出条件：</w:t>
      </w:r>
      <w:r>
        <w:t>当前只选择一个边界清晰、可独立回退的工作包。</w:t>
      </w:r>
    </w:p>
    <w:p>
      <w:pPr/>
      <w:r>
        <w:rPr>
          <w:b/>
        </w:rPr>
        <w:t>必须停工提问：</w:t>
      </w:r>
      <w:r>
        <w:t>必须同时大改多个系统才能描述完成，或依赖关系不清。</w:t>
      </w:r>
    </w:p>
    <w:p>
      <w:pPr>
        <w:pStyle w:val="Heading3"/>
        <w:keepNext/>
      </w:pPr>
      <w:r>
        <w:t>步骤4：Git基线</w:t>
      </w:r>
    </w:p>
    <w:p>
      <w:pPr/>
      <w:r>
        <w:rPr>
          <w:b/>
        </w:rPr>
        <w:t>进入条件：</w:t>
      </w:r>
      <w:r>
        <w:t>工作包已选定。</w:t>
      </w:r>
    </w:p>
    <w:p>
      <w:pPr/>
      <w:r>
        <w:rPr>
          <w:b/>
        </w:rPr>
        <w:t>Codex必须输出：</w:t>
      </w:r>
      <w:r>
        <w:t>确认仓库存在，报告分支/基线与工作区状态；区分本任务和既有改动。</w:t>
      </w:r>
    </w:p>
    <w:p>
      <w:pPr/>
      <w:r>
        <w:rPr>
          <w:b/>
        </w:rPr>
        <w:t>退出条件：</w:t>
      </w:r>
      <w:r>
        <w:t>高风险/BUG修复已有可回退点；无覆盖无关改动风险。</w:t>
      </w:r>
    </w:p>
    <w:p>
      <w:pPr/>
      <w:r>
        <w:rPr>
          <w:b/>
        </w:rPr>
        <w:t>必须停工提问：</w:t>
      </w:r>
      <w:r>
        <w:t>无仓库、冲突、敏感文件、基线不清或无法安全保留既有改动。</w:t>
      </w:r>
    </w:p>
    <w:p>
      <w:pPr>
        <w:pStyle w:val="Heading3"/>
        <w:keepNext/>
      </w:pPr>
      <w:r>
        <w:t>步骤5：实施前影响声明</w:t>
      </w:r>
    </w:p>
    <w:p>
      <w:pPr/>
      <w:r>
        <w:rPr>
          <w:b/>
        </w:rPr>
        <w:t>进入条件：</w:t>
      </w:r>
      <w:r>
        <w:t>Git基线安全。</w:t>
      </w:r>
    </w:p>
    <w:p>
      <w:pPr/>
      <w:r>
        <w:rPr>
          <w:b/>
        </w:rPr>
        <w:t>Codex必须输出：</w:t>
      </w:r>
      <w:r>
        <w:t>声明拟改文件/模块、行为、受影响不变量、受保护区、回归范围和明确不修改项。</w:t>
      </w:r>
    </w:p>
    <w:p>
      <w:pPr/>
      <w:r>
        <w:rPr>
          <w:b/>
        </w:rPr>
        <w:t>退出条件：</w:t>
      </w:r>
      <w:r>
        <w:t>影响边界与批准工作包一致。</w:t>
      </w:r>
    </w:p>
    <w:p>
      <w:pPr/>
      <w:r>
        <w:rPr>
          <w:b/>
        </w:rPr>
        <w:t>必须停工提问：</w:t>
      </w:r>
      <w:r>
        <w:t>需要触碰未批准模块、底层/共享核心或扩大范围。</w:t>
      </w:r>
    </w:p>
    <w:p>
      <w:pPr>
        <w:pStyle w:val="Heading3"/>
        <w:keepNext/>
      </w:pPr>
      <w:r>
        <w:t>步骤6：最小实现</w:t>
      </w:r>
    </w:p>
    <w:p>
      <w:pPr/>
      <w:r>
        <w:rPr>
          <w:b/>
        </w:rPr>
        <w:t>进入条件：</w:t>
      </w:r>
      <w:r>
        <w:t>影响声明无阻塞。</w:t>
      </w:r>
    </w:p>
    <w:p>
      <w:pPr/>
      <w:r>
        <w:rPr>
          <w:b/>
        </w:rPr>
        <w:t>Codex必须输出：</w:t>
      </w:r>
      <w:r>
        <w:t>只实施必要代码/配置/资源；记录任何与预期不一致的发现。</w:t>
      </w:r>
    </w:p>
    <w:p>
      <w:pPr/>
      <w:r>
        <w:rPr>
          <w:b/>
        </w:rPr>
        <w:t>退出条件：</w:t>
      </w:r>
      <w:r>
        <w:t>工作包目标完成且未引入额外功能/重构。</w:t>
      </w:r>
    </w:p>
    <w:p>
      <w:pPr/>
      <w:r>
        <w:rPr>
          <w:b/>
        </w:rPr>
        <w:t>必须停工提问：</w:t>
      </w:r>
      <w:r>
        <w:t>发现根因不同、范围扩大、规范冲突或需新增产品决策。</w:t>
      </w:r>
    </w:p>
    <w:p>
      <w:pPr>
        <w:pStyle w:val="Heading3"/>
        <w:keepNext/>
      </w:pPr>
      <w:r>
        <w:t>步骤7：单元/功能验证</w:t>
      </w:r>
    </w:p>
    <w:p>
      <w:pPr/>
      <w:r>
        <w:rPr>
          <w:b/>
        </w:rPr>
        <w:t>进入条件：</w:t>
      </w:r>
      <w:r>
        <w:t>实现完成。</w:t>
      </w:r>
    </w:p>
    <w:p>
      <w:pPr/>
      <w:r>
        <w:rPr>
          <w:b/>
        </w:rPr>
        <w:t>Codex必须输出：</w:t>
      </w:r>
      <w:r>
        <w:t>运行与改动直接相关的自动化测试或可重复功能验证，并报告命令/步骤与真实结果。</w:t>
      </w:r>
    </w:p>
    <w:p>
      <w:pPr/>
      <w:r>
        <w:rPr>
          <w:b/>
        </w:rPr>
        <w:t>退出条件：</w:t>
      </w:r>
      <w:r>
        <w:t>目标用例通过；失败用例有明确处理。</w:t>
      </w:r>
    </w:p>
    <w:p>
      <w:pPr/>
      <w:r>
        <w:rPr>
          <w:b/>
        </w:rPr>
        <w:t>必须停工提问：</w:t>
      </w:r>
      <w:r>
        <w:t>测试无法运行、环境缺失或失败原因不明。</w:t>
      </w:r>
    </w:p>
    <w:p>
      <w:pPr>
        <w:pStyle w:val="Heading3"/>
        <w:keepNext/>
      </w:pPr>
      <w:r>
        <w:t>步骤8：回归验证</w:t>
      </w:r>
    </w:p>
    <w:p>
      <w:pPr/>
      <w:r>
        <w:rPr>
          <w:b/>
        </w:rPr>
        <w:t>进入条件：</w:t>
      </w:r>
      <w:r>
        <w:t>直接验证通过。</w:t>
      </w:r>
    </w:p>
    <w:p>
      <w:pPr/>
      <w:r>
        <w:rPr>
          <w:b/>
        </w:rPr>
        <w:t>Codex必须输出：</w:t>
      </w:r>
      <w:r>
        <w:t>按影响声明验证正常路径、边界路径、核心不变量与共享消费者。</w:t>
      </w:r>
    </w:p>
    <w:p>
      <w:pPr/>
      <w:r>
        <w:rPr>
          <w:b/>
        </w:rPr>
        <w:t>退出条件：</w:t>
      </w:r>
      <w:r>
        <w:t>受影响范围未回归；结果可复述。</w:t>
      </w:r>
    </w:p>
    <w:p>
      <w:pPr/>
      <w:r>
        <w:rPr>
          <w:b/>
        </w:rPr>
        <w:t>必须停工提问：</w:t>
      </w:r>
      <w:r>
        <w:t>出现新回归、数据不一致或受保护区行为改变。</w:t>
      </w:r>
    </w:p>
    <w:p>
      <w:pPr>
        <w:pStyle w:val="Heading3"/>
        <w:keepNext/>
      </w:pPr>
      <w:r>
        <w:t>步骤9：自查</w:t>
      </w:r>
    </w:p>
    <w:p>
      <w:pPr/>
      <w:r>
        <w:rPr>
          <w:b/>
        </w:rPr>
        <w:t>进入条件：</w:t>
      </w:r>
      <w:r>
        <w:t>验证完成。</w:t>
      </w:r>
    </w:p>
    <w:p>
      <w:pPr/>
      <w:r>
        <w:rPr>
          <w:b/>
        </w:rPr>
        <w:t>Codex必须输出：</w:t>
      </w:r>
      <w:r>
        <w:t>逐项核对第8节、规范优先级、无散落硬编码、无无关改动。</w:t>
      </w:r>
    </w:p>
    <w:p>
      <w:pPr/>
      <w:r>
        <w:rPr>
          <w:b/>
        </w:rPr>
        <w:t>退出条件：</w:t>
      </w:r>
      <w:r>
        <w:t>全部通过或诚实列出例外并停在未完成状态。</w:t>
      </w:r>
    </w:p>
    <w:p>
      <w:pPr/>
      <w:r>
        <w:rPr>
          <w:b/>
        </w:rPr>
        <w:t>必须停工提问：</w:t>
      </w:r>
      <w:r>
        <w:t>发现范围漂移、测试迎合实现、未说明改动或TBD被擅自决定。</w:t>
      </w:r>
    </w:p>
    <w:p>
      <w:pPr>
        <w:pStyle w:val="Heading3"/>
        <w:keepNext/>
      </w:pPr>
      <w:r>
        <w:t>步骤10：提交/交付报告</w:t>
      </w:r>
    </w:p>
    <w:p>
      <w:pPr/>
      <w:r>
        <w:rPr>
          <w:b/>
        </w:rPr>
        <w:t>进入条件：</w:t>
      </w:r>
      <w:r>
        <w:t>自查通过。</w:t>
      </w:r>
    </w:p>
    <w:p>
      <w:pPr/>
      <w:r>
        <w:rPr>
          <w:b/>
        </w:rPr>
        <w:t>Codex必须输出：</w:t>
      </w:r>
      <w:r>
        <w:t>形成小而可回退的提交点（或说明不能提交的原因）；按10.2报告结果、改动、影响、未改、验证、剩余事项。</w:t>
      </w:r>
    </w:p>
    <w:p>
      <w:pPr/>
      <w:r>
        <w:rPr>
          <w:b/>
        </w:rPr>
        <w:t>退出条件：</w:t>
      </w:r>
      <w:r>
        <w:t>交付差异清楚、可回退、无虚构验证。</w:t>
      </w:r>
    </w:p>
    <w:p>
      <w:pPr/>
      <w:r>
        <w:rPr>
          <w:b/>
        </w:rPr>
        <w:t>必须停工提问：</w:t>
      </w:r>
      <w:r>
        <w:t>工作区混入无关改动、测试仍失败、无法确定提交边界。</w:t>
      </w:r>
    </w:p>
    <w:p>
      <w:pPr>
        <w:pStyle w:val="Heading3"/>
        <w:keepNext/>
      </w:pPr>
      <w:r>
        <w:t>步骤11：产品验收</w:t>
      </w:r>
    </w:p>
    <w:p>
      <w:pPr/>
      <w:r>
        <w:rPr>
          <w:b/>
        </w:rPr>
        <w:t>进入条件：</w:t>
      </w:r>
      <w:r>
        <w:t>交付报告完整。</w:t>
      </w:r>
    </w:p>
    <w:p>
      <w:pPr/>
      <w:r>
        <w:rPr>
          <w:b/>
        </w:rPr>
        <w:t>Codex必须输出：</w:t>
      </w:r>
      <w:r>
        <w:t>提供非编程负责人可执行的验收步骤与预期结果；等待批准/拒绝/改动意见。</w:t>
      </w:r>
    </w:p>
    <w:p>
      <w:pPr/>
      <w:r>
        <w:rPr>
          <w:b/>
        </w:rPr>
        <w:t>退出条件：</w:t>
      </w:r>
      <w:r>
        <w:t>产品负责人明确验收通过，或明确创建新的修订工作包。</w:t>
      </w:r>
    </w:p>
    <w:p>
      <w:pPr/>
      <w:r>
        <w:rPr>
          <w:b/>
        </w:rPr>
        <w:t>必须停工提问：</w:t>
      </w:r>
      <w:r>
        <w:t>验收标准与交付不一致或出现新的产品决策。</w:t>
      </w:r>
    </w:p>
    <w:p>
      <w:pPr>
        <w:pStyle w:val="Heading3"/>
        <w:keepNext/>
      </w:pPr>
      <w:r>
        <w:t>步骤12：规范同步</w:t>
      </w:r>
    </w:p>
    <w:p>
      <w:pPr/>
      <w:r>
        <w:rPr>
          <w:b/>
        </w:rPr>
        <w:t>进入条件：</w:t>
      </w:r>
      <w:r>
        <w:t>产品验收形成规则变更或TBD结论。</w:t>
      </w:r>
    </w:p>
    <w:p>
      <w:pPr/>
      <w:r>
        <w:rPr>
          <w:b/>
        </w:rPr>
        <w:t>Codex必须输出：</w:t>
      </w:r>
      <w:r>
        <w:t>先/同时更新状态总表、正文、验收、自查、变更记录、TBD与追踪矩阵。</w:t>
      </w:r>
    </w:p>
    <w:p>
      <w:pPr/>
      <w:r>
        <w:rPr>
          <w:b/>
        </w:rPr>
        <w:t>退出条件：</w:t>
      </w:r>
      <w:r>
        <w:t>规范与已批准行为一致；版本与变更记录可追溯。</w:t>
      </w:r>
    </w:p>
    <w:p>
      <w:pPr/>
      <w:r>
        <w:rPr>
          <w:b/>
        </w:rPr>
        <w:t>必须停工提问：</w:t>
      </w:r>
      <w:r>
        <w:t>产品决定尚不明确；不得把口头建议升级为规则。</w:t>
      </w:r>
    </w:p>
    <w:p>
      <w:pPr>
        <w:pStyle w:val="Heading2"/>
        <w:keepNext/>
      </w:pPr>
      <w:r>
        <w:t>11.3 受保护核心区与跨模块审批</w:t>
      </w:r>
    </w:p>
    <w:p>
      <w:pPr>
        <w:pStyle w:val="ListBullet"/>
      </w:pPr>
      <w:r>
        <w:t>受保护核心区包括：顶层状态机、搜索子状态、GridInventory与放置校验、ItemInstance身份/生命周期、容器计数、撤离与计时、结算、仓库/出售/货币事务、集中配置入口、共享序列化/持久化接口。</w:t>
      </w:r>
    </w:p>
    <w:p>
      <w:pPr>
        <w:pStyle w:val="ListBullet"/>
      </w:pPr>
      <w:r>
        <w:t>普通工作包默认不得修改受保护核心区。若确需跨模块或改底层，Codex MUST 在修改前提交：必要性、替代方案为何不足、拟改范围、消费者清单、风险、回归清单、回滚点，并取得产品负责人批准。</w:t>
      </w:r>
    </w:p>
    <w:p>
      <w:pPr>
        <w:pStyle w:val="ListBullet"/>
      </w:pPr>
      <w:r>
        <w:t>批准只覆盖声明范围；实施中发现新增消费者或新增文件时，必须再次停工更新影响声明。</w:t>
      </w:r>
    </w:p>
    <w:p>
      <w:pPr>
        <w:pStyle w:val="Heading2"/>
        <w:keepNext/>
      </w:pPr>
      <w:r>
        <w:t>11.4 BUG修复专用流程</w:t>
      </w:r>
    </w:p>
    <w:p>
      <w:pPr>
        <w:pStyle w:val="ListNumber"/>
      </w:pPr>
      <w:r>
        <w:t>复现：记录环境、前置状态、最短步骤、预期与实际结果；无法稳定复现时先做只读诊断。</w:t>
      </w:r>
    </w:p>
    <w:p>
      <w:pPr>
        <w:pStyle w:val="ListNumber"/>
      </w:pPr>
      <w:r>
        <w:t>定位：以日志、测试、调用链或最小实验形成根因证据；区分根因、触发条件和表面症状。</w:t>
      </w:r>
    </w:p>
    <w:p>
      <w:pPr>
        <w:pStyle w:val="ListNumber"/>
      </w:pPr>
      <w:r>
        <w:t>授权：提交影响声明；若涉及受保护区、共享模块或多个系统，先申请批准。</w:t>
      </w:r>
    </w:p>
    <w:p>
      <w:pPr>
        <w:pStyle w:val="ListNumber"/>
      </w:pPr>
      <w:r>
        <w:t>修复：只改消除根因所需的最小范围；禁止吞错、关功能、删校验、放宽不变量、改测试迎合错误实现。</w:t>
      </w:r>
    </w:p>
    <w:p>
      <w:pPr>
        <w:pStyle w:val="ListNumber"/>
      </w:pPr>
      <w:r>
        <w:t>验证：原BUG用例必须失败→修复后通过；同时验证正常路径、边界路径和共享消费者。</w:t>
      </w:r>
    </w:p>
    <w:p>
      <w:pPr>
        <w:pStyle w:val="ListNumber"/>
      </w:pPr>
      <w:r>
        <w:t>交付：报告根因、改动、未改、测试、回滚点、残余风险。根因置信度不足时不得宣称完成。</w:t>
      </w:r>
    </w:p>
    <w:p>
      <w:pPr>
        <w:pStyle w:val="Heading2"/>
        <w:keepNext/>
      </w:pPr>
      <w:r>
        <w:t>11.5 测试失败与回滚原则</w:t>
      </w:r>
    </w:p>
    <w:p>
      <w:pPr>
        <w:pStyle w:val="ListBullet"/>
      </w:pPr>
      <w:r>
        <w:t>任何相关测试失败时，工作包不得标记完成，不得建立“已完成”提交或要求产品验收。</w:t>
      </w:r>
    </w:p>
    <w:p>
      <w:pPr>
        <w:pStyle w:val="ListBullet"/>
      </w:pPr>
      <w:r>
        <w:t>先判断失败是否由本次改动引入、环境导致或既有缺陷；必须提供证据，不能凭猜测改代码。</w:t>
      </w:r>
    </w:p>
    <w:p>
      <w:pPr>
        <w:pStyle w:val="ListBullet"/>
      </w:pPr>
      <w:r>
        <w:t>若修复失败测试需要扩大范围，立即停工并回到步骤2～5重新审批。不得修改测试期望来迁就错误实现。</w:t>
      </w:r>
    </w:p>
    <w:p>
      <w:pPr>
        <w:pStyle w:val="ListBullet"/>
      </w:pPr>
      <w:r>
        <w:t>当改动造成回归且无法在当前批准范围内安全修复时，应回退本工作包到可回退基线，同时保留诊断记录；不得覆盖用户或其他未提交改动。</w:t>
      </w:r>
    </w:p>
    <w:p>
      <w:pPr>
        <w:pStyle w:val="ListBullet"/>
      </w:pPr>
      <w:r>
        <w:t>回滚是恢复已知安全状态，不是删除证据。交付报告必须说明回滚范围、原因、保留的日志/复现步骤与后续决策点。</w:t>
      </w:r>
    </w:p>
    <w:p>
      <w:pPr>
        <w:pStyle w:val="Heading1"/>
        <w:keepNext/>
      </w:pPr>
      <w:r>
        <w:t>12. 未确定事项登记册（强制停工点）</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950"/>
        <w:gridCol w:w="1700"/>
        <w:gridCol w:w="4550"/>
        <w:gridCol w:w="2160"/>
      </w:tblGrid>
      <w:tr>
        <w:trPr>
          <w:tblHeader w:val="true"/>
          <w:cantSplit/>
        </w:trPr>
        <w:tc>
          <w:tcPr>
            <w:tcW w:type="dxa" w:w="95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6"/>
              </w:rPr>
              <w:t>ID</w:t>
            </w:r>
          </w:p>
        </w:tc>
        <w:tc>
          <w:tcPr>
            <w:tcW w:type="dxa" w:w="17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6"/>
              </w:rPr>
              <w:t>主题</w:t>
            </w:r>
          </w:p>
        </w:tc>
        <w:tc>
          <w:tcPr>
            <w:tcW w:type="dxa" w:w="455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6"/>
              </w:rPr>
              <w:t>未决内容</w:t>
            </w:r>
          </w:p>
        </w:tc>
        <w:tc>
          <w:tcPr>
            <w:tcW w:type="dxa" w:w="21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6"/>
              </w:rPr>
              <w:t>阻塞范围</w:t>
            </w:r>
          </w:p>
        </w:tc>
      </w:tr>
      <w:tr>
        <w:trPr>
          <w:cantSplit/>
        </w:trPr>
        <w:tc>
          <w:tcPr>
            <w:tcW w:type="dxa" w:w="950"/>
            <w:vAlign w:val="center"/>
          </w:tcPr>
          <w:p>
            <w:pPr>
              <w:spacing w:before="20" w:after="40" w:line="252" w:lineRule="auto"/>
            </w:pPr>
            <w:r>
              <w:rPr>
                <w:rFonts w:ascii="Microsoft YaHei" w:hAnsi="Microsoft YaHei" w:eastAsia="Microsoft YaHei"/>
                <w:color w:val="1F2933"/>
                <w:sz w:val="16"/>
              </w:rPr>
              <w:t>TBD-01</w:t>
            </w:r>
          </w:p>
        </w:tc>
        <w:tc>
          <w:tcPr>
            <w:tcW w:type="dxa" w:w="1700"/>
            <w:vAlign w:val="center"/>
          </w:tcPr>
          <w:p>
            <w:pPr>
              <w:spacing w:before="20" w:after="40" w:line="252" w:lineRule="auto"/>
            </w:pPr>
            <w:r>
              <w:rPr>
                <w:rFonts w:ascii="Microsoft YaHei" w:hAnsi="Microsoft YaHei" w:eastAsia="Microsoft YaHei"/>
                <w:color w:val="1F2933"/>
                <w:sz w:val="16"/>
              </w:rPr>
              <w:t>地图与移动</w:t>
            </w:r>
          </w:p>
        </w:tc>
        <w:tc>
          <w:tcPr>
            <w:tcW w:type="dxa" w:w="4550"/>
            <w:vAlign w:val="center"/>
          </w:tcPr>
          <w:p>
            <w:pPr>
              <w:spacing w:before="20" w:after="40" w:line="252" w:lineRule="auto"/>
            </w:pPr>
            <w:r>
              <w:rPr>
                <w:rFonts w:ascii="Microsoft YaHei" w:hAnsi="Microsoft YaHei" w:eastAsia="Microsoft YaHei"/>
                <w:color w:val="1F2933"/>
                <w:sz w:val="16"/>
              </w:rPr>
              <w:t>地图结构、移动形式、是否有角色移动、节点/房间/WASD/点击等交互。</w:t>
            </w:r>
          </w:p>
        </w:tc>
        <w:tc>
          <w:tcPr>
            <w:tcW w:type="dxa" w:w="2160"/>
            <w:vAlign w:val="center"/>
          </w:tcPr>
          <w:p>
            <w:pPr>
              <w:spacing w:before="20" w:after="40" w:line="252" w:lineRule="auto"/>
            </w:pPr>
            <w:r>
              <w:rPr>
                <w:rFonts w:ascii="Microsoft YaHei" w:hAnsi="Microsoft YaHei" w:eastAsia="Microsoft YaHei"/>
                <w:color w:val="1F2933"/>
                <w:sz w:val="16"/>
              </w:rPr>
              <w:t>任何依赖地图导航的产品实现。</w:t>
            </w:r>
          </w:p>
        </w:tc>
      </w:tr>
      <w:tr>
        <w:trPr>
          <w:cantSplit/>
        </w:trPr>
        <w:tc>
          <w:tcPr>
            <w:tcW w:type="dxa" w:w="950"/>
            <w:vAlign w:val="center"/>
          </w:tcPr>
          <w:p>
            <w:pPr>
              <w:spacing w:before="20" w:after="40" w:line="252" w:lineRule="auto"/>
            </w:pPr>
            <w:r>
              <w:rPr>
                <w:rFonts w:ascii="Microsoft YaHei" w:hAnsi="Microsoft YaHei" w:eastAsia="Microsoft YaHei"/>
                <w:color w:val="1F2933"/>
                <w:sz w:val="16"/>
              </w:rPr>
              <w:t>TBD-02</w:t>
            </w:r>
          </w:p>
        </w:tc>
        <w:tc>
          <w:tcPr>
            <w:tcW w:type="dxa" w:w="1700"/>
            <w:vAlign w:val="center"/>
          </w:tcPr>
          <w:p>
            <w:pPr>
              <w:spacing w:before="20" w:after="40" w:line="252" w:lineRule="auto"/>
            </w:pPr>
            <w:r>
              <w:rPr>
                <w:rFonts w:ascii="Microsoft YaHei" w:hAnsi="Microsoft YaHei" w:eastAsia="Microsoft YaHei"/>
                <w:color w:val="1F2933"/>
                <w:sz w:val="16"/>
              </w:rPr>
              <w:t>搜索中断与恢复</w:t>
            </w:r>
          </w:p>
        </w:tc>
        <w:tc>
          <w:tcPr>
            <w:tcW w:type="dxa" w:w="4550"/>
            <w:vAlign w:val="center"/>
          </w:tcPr>
          <w:p>
            <w:pPr>
              <w:spacing w:before="20" w:after="40" w:line="252" w:lineRule="auto"/>
            </w:pPr>
            <w:r>
              <w:rPr>
                <w:rFonts w:ascii="Microsoft YaHei" w:hAnsi="Microsoft YaHei" w:eastAsia="Microsoft YaHei"/>
                <w:color w:val="1F2933"/>
                <w:sz w:val="16"/>
              </w:rPr>
              <w:t>搜索是否允许中断；离开后已揭晓/未揭晓如何处理；是否可返回续搜。</w:t>
            </w:r>
          </w:p>
        </w:tc>
        <w:tc>
          <w:tcPr>
            <w:tcW w:type="dxa" w:w="2160"/>
            <w:vAlign w:val="center"/>
          </w:tcPr>
          <w:p>
            <w:pPr>
              <w:spacing w:before="20" w:after="40" w:line="252" w:lineRule="auto"/>
            </w:pPr>
            <w:r>
              <w:rPr>
                <w:rFonts w:ascii="Microsoft YaHei" w:hAnsi="Microsoft YaHei" w:eastAsia="Microsoft YaHei"/>
                <w:color w:val="1F2933"/>
                <w:sz w:val="16"/>
              </w:rPr>
              <w:t>搜索控制、进度保存、容器 UI。</w:t>
            </w:r>
          </w:p>
        </w:tc>
      </w:tr>
      <w:tr>
        <w:trPr>
          <w:cantSplit/>
        </w:trPr>
        <w:tc>
          <w:tcPr>
            <w:tcW w:type="dxa" w:w="950"/>
            <w:vAlign w:val="center"/>
          </w:tcPr>
          <w:p>
            <w:pPr>
              <w:spacing w:before="20" w:after="40" w:line="252" w:lineRule="auto"/>
            </w:pPr>
            <w:r>
              <w:rPr>
                <w:rFonts w:ascii="Microsoft YaHei" w:hAnsi="Microsoft YaHei" w:eastAsia="Microsoft YaHei"/>
                <w:color w:val="1F2933"/>
                <w:sz w:val="16"/>
              </w:rPr>
              <w:t>TBD-03</w:t>
            </w:r>
          </w:p>
        </w:tc>
        <w:tc>
          <w:tcPr>
            <w:tcW w:type="dxa" w:w="1700"/>
            <w:vAlign w:val="center"/>
          </w:tcPr>
          <w:p>
            <w:pPr>
              <w:spacing w:before="20" w:after="40" w:line="252" w:lineRule="auto"/>
            </w:pPr>
            <w:r>
              <w:rPr>
                <w:rFonts w:ascii="Microsoft YaHei" w:hAnsi="Microsoft YaHei" w:eastAsia="Microsoft YaHei"/>
                <w:color w:val="1F2933"/>
                <w:sz w:val="16"/>
              </w:rPr>
              <w:t>容器内揭晓顺序</w:t>
            </w:r>
          </w:p>
        </w:tc>
        <w:tc>
          <w:tcPr>
            <w:tcW w:type="dxa" w:w="4550"/>
            <w:vAlign w:val="center"/>
          </w:tcPr>
          <w:p>
            <w:pPr>
              <w:spacing w:before="20" w:after="40" w:line="252" w:lineRule="auto"/>
            </w:pPr>
            <w:r>
              <w:rPr>
                <w:rFonts w:ascii="Microsoft YaHei" w:hAnsi="Microsoft YaHei" w:eastAsia="Microsoft YaHei"/>
                <w:color w:val="1F2933"/>
                <w:sz w:val="16"/>
              </w:rPr>
              <w:t>固定、随机、按位置、按品质或由玩家选择。</w:t>
            </w:r>
          </w:p>
        </w:tc>
        <w:tc>
          <w:tcPr>
            <w:tcW w:type="dxa" w:w="2160"/>
            <w:vAlign w:val="center"/>
          </w:tcPr>
          <w:p>
            <w:pPr>
              <w:spacing w:before="20" w:after="40" w:line="252" w:lineRule="auto"/>
            </w:pPr>
            <w:r>
              <w:rPr>
                <w:rFonts w:ascii="Microsoft YaHei" w:hAnsi="Microsoft YaHei" w:eastAsia="Microsoft YaHei"/>
                <w:color w:val="1F2933"/>
                <w:sz w:val="16"/>
              </w:rPr>
              <w:t>搜索队列与测试。</w:t>
            </w:r>
          </w:p>
        </w:tc>
      </w:tr>
      <w:tr>
        <w:trPr>
          <w:cantSplit/>
        </w:trPr>
        <w:tc>
          <w:tcPr>
            <w:tcW w:type="dxa" w:w="950"/>
            <w:vAlign w:val="center"/>
          </w:tcPr>
          <w:p>
            <w:pPr>
              <w:spacing w:before="20" w:after="40" w:line="252" w:lineRule="auto"/>
            </w:pPr>
            <w:r>
              <w:rPr>
                <w:rFonts w:ascii="Microsoft YaHei" w:hAnsi="Microsoft YaHei" w:eastAsia="Microsoft YaHei"/>
                <w:color w:val="1F2933"/>
                <w:sz w:val="16"/>
              </w:rPr>
              <w:t>TBD-04</w:t>
            </w:r>
          </w:p>
        </w:tc>
        <w:tc>
          <w:tcPr>
            <w:tcW w:type="dxa" w:w="1700"/>
            <w:vAlign w:val="center"/>
          </w:tcPr>
          <w:p>
            <w:pPr>
              <w:spacing w:before="20" w:after="40" w:line="252" w:lineRule="auto"/>
            </w:pPr>
            <w:r>
              <w:rPr>
                <w:rFonts w:ascii="Microsoft YaHei" w:hAnsi="Microsoft YaHei" w:eastAsia="Microsoft YaHei"/>
                <w:color w:val="1F2933"/>
                <w:sz w:val="16"/>
              </w:rPr>
              <w:t>同刻计时优先级</w:t>
            </w:r>
          </w:p>
        </w:tc>
        <w:tc>
          <w:tcPr>
            <w:tcW w:type="dxa" w:w="4550"/>
            <w:vAlign w:val="center"/>
          </w:tcPr>
          <w:p>
            <w:pPr>
              <w:spacing w:before="20" w:after="40" w:line="252" w:lineRule="auto"/>
            </w:pPr>
            <w:r>
              <w:rPr>
                <w:rFonts w:ascii="Microsoft YaHei" w:hAnsi="Microsoft YaHei" w:eastAsia="Microsoft YaHei"/>
                <w:color w:val="1F2933"/>
                <w:sz w:val="16"/>
              </w:rPr>
              <w:t>总计时与撤离计时同刻归零时成功或失败。</w:t>
            </w:r>
          </w:p>
        </w:tc>
        <w:tc>
          <w:tcPr>
            <w:tcW w:type="dxa" w:w="2160"/>
            <w:vAlign w:val="center"/>
          </w:tcPr>
          <w:p>
            <w:pPr>
              <w:spacing w:before="20" w:after="40" w:line="252" w:lineRule="auto"/>
            </w:pPr>
            <w:r>
              <w:rPr>
                <w:rFonts w:ascii="Microsoft YaHei" w:hAnsi="Microsoft YaHei" w:eastAsia="Microsoft YaHei"/>
                <w:color w:val="1F2933"/>
                <w:sz w:val="16"/>
              </w:rPr>
              <w:t>边界判定。</w:t>
            </w:r>
          </w:p>
        </w:tc>
      </w:tr>
      <w:tr>
        <w:trPr>
          <w:cantSplit/>
        </w:trPr>
        <w:tc>
          <w:tcPr>
            <w:tcW w:type="dxa" w:w="950"/>
            <w:vAlign w:val="center"/>
          </w:tcPr>
          <w:p>
            <w:pPr>
              <w:spacing w:before="20" w:after="40" w:line="252" w:lineRule="auto"/>
            </w:pPr>
            <w:r>
              <w:rPr>
                <w:rFonts w:ascii="Microsoft YaHei" w:hAnsi="Microsoft YaHei" w:eastAsia="Microsoft YaHei"/>
                <w:color w:val="1F2933"/>
                <w:sz w:val="16"/>
              </w:rPr>
              <w:t>TBD-07</w:t>
            </w:r>
          </w:p>
        </w:tc>
        <w:tc>
          <w:tcPr>
            <w:tcW w:type="dxa" w:w="1700"/>
            <w:vAlign w:val="center"/>
          </w:tcPr>
          <w:p>
            <w:pPr>
              <w:spacing w:before="20" w:after="40" w:line="252" w:lineRule="auto"/>
            </w:pPr>
            <w:r>
              <w:rPr>
                <w:rFonts w:ascii="Microsoft YaHei" w:hAnsi="Microsoft YaHei" w:eastAsia="Microsoft YaHei"/>
                <w:color w:val="1F2933"/>
                <w:sz w:val="16"/>
              </w:rPr>
              <w:t>物品内容</w:t>
            </w:r>
          </w:p>
        </w:tc>
        <w:tc>
          <w:tcPr>
            <w:tcW w:type="dxa" w:w="4550"/>
            <w:vAlign w:val="center"/>
          </w:tcPr>
          <w:p>
            <w:r>
              <w:t>具体物品清单、完整尺寸集合、每件物品具体价值与物品内容权重；容器Tier品质概率和1～3件数量已由CR-001确定。</w:t>
            </w:r>
          </w:p>
        </w:tc>
        <w:tc>
          <w:tcPr>
            <w:tcW w:type="dxa" w:w="2160"/>
            <w:vAlign w:val="center"/>
          </w:tcPr>
          <w:p>
            <w:r>
              <w:t>物品内容配置；不得反向修改已批准的Tier抽取规则。</w:t>
            </w:r>
          </w:p>
        </w:tc>
      </w:tr>
      <w:tr>
        <w:trPr>
          <w:cantSplit/>
        </w:trPr>
        <w:tc>
          <w:tcPr>
            <w:tcW w:type="dxa" w:w="950"/>
            <w:vAlign w:val="center"/>
          </w:tcPr>
          <w:p>
            <w:pPr>
              <w:spacing w:before="20" w:after="40" w:line="252" w:lineRule="auto"/>
            </w:pPr>
            <w:r>
              <w:rPr>
                <w:rFonts w:ascii="Microsoft YaHei" w:hAnsi="Microsoft YaHei" w:eastAsia="Microsoft YaHei"/>
                <w:color w:val="1F2933"/>
                <w:sz w:val="16"/>
              </w:rPr>
              <w:t>TBD-08</w:t>
            </w:r>
          </w:p>
        </w:tc>
        <w:tc>
          <w:tcPr>
            <w:tcW w:type="dxa" w:w="1700"/>
            <w:vAlign w:val="center"/>
          </w:tcPr>
          <w:p>
            <w:pPr>
              <w:spacing w:before="20" w:after="40" w:line="252" w:lineRule="auto"/>
            </w:pPr>
            <w:r>
              <w:rPr>
                <w:rFonts w:ascii="Microsoft YaHei" w:hAnsi="Microsoft YaHei" w:eastAsia="Microsoft YaHei"/>
                <w:color w:val="1F2933"/>
                <w:sz w:val="16"/>
              </w:rPr>
              <w:t>容器内容</w:t>
            </w:r>
          </w:p>
        </w:tc>
        <w:tc>
          <w:tcPr>
            <w:tcW w:type="dxa" w:w="4550"/>
            <w:vAlign w:val="center"/>
          </w:tcPr>
          <w:p>
            <w:r>
              <w:t>废弃工厂每局/各区域容器数量、是否可能为空、能否重复搜索；类型/Tier/建议GridSize与1～3件已由CR-001确定。</w:t>
            </w:r>
          </w:p>
        </w:tc>
        <w:tc>
          <w:tcPr>
            <w:tcW w:type="dxa" w:w="2160"/>
            <w:vAlign w:val="center"/>
          </w:tcPr>
          <w:p>
            <w:r>
              <w:t>地图布置、搜索计数与重复搜索行为。</w:t>
            </w:r>
          </w:p>
        </w:tc>
      </w:tr>
      <w:tr>
        <w:trPr>
          <w:cantSplit/>
        </w:trPr>
        <w:tc>
          <w:tcPr>
            <w:tcW w:type="dxa" w:w="950"/>
            <w:vAlign w:val="center"/>
          </w:tcPr>
          <w:p>
            <w:pPr>
              <w:spacing w:before="20" w:after="40" w:line="252" w:lineRule="auto"/>
            </w:pPr>
            <w:r>
              <w:rPr>
                <w:rFonts w:ascii="Microsoft YaHei" w:hAnsi="Microsoft YaHei" w:eastAsia="Microsoft YaHei"/>
                <w:color w:val="1F2933"/>
                <w:sz w:val="16"/>
              </w:rPr>
              <w:t>TBD-09</w:t>
            </w:r>
          </w:p>
        </w:tc>
        <w:tc>
          <w:tcPr>
            <w:tcW w:type="dxa" w:w="1700"/>
            <w:vAlign w:val="center"/>
          </w:tcPr>
          <w:p>
            <w:pPr>
              <w:spacing w:before="20" w:after="40" w:line="252" w:lineRule="auto"/>
            </w:pPr>
            <w:r>
              <w:rPr>
                <w:rFonts w:ascii="Microsoft YaHei" w:hAnsi="Microsoft YaHei" w:eastAsia="Microsoft YaHei"/>
                <w:color w:val="1F2933"/>
                <w:sz w:val="16"/>
              </w:rPr>
              <w:t>交互输入</w:t>
            </w:r>
          </w:p>
        </w:tc>
        <w:tc>
          <w:tcPr>
            <w:tcW w:type="dxa" w:w="4550"/>
            <w:vAlign w:val="center"/>
          </w:tcPr>
          <w:p>
            <w:pPr>
              <w:spacing w:before="20" w:after="40" w:line="252" w:lineRule="auto"/>
            </w:pPr>
            <w:r>
              <w:rPr>
                <w:rFonts w:ascii="Microsoft YaHei" w:hAnsi="Microsoft YaHei" w:eastAsia="Microsoft YaHei"/>
                <w:color w:val="1F2933"/>
                <w:sz w:val="16"/>
              </w:rPr>
              <w:t>PC/微信的拖拽、点击、快捷键、触控手势与快速移动。</w:t>
            </w:r>
          </w:p>
        </w:tc>
        <w:tc>
          <w:tcPr>
            <w:tcW w:type="dxa" w:w="2160"/>
            <w:vAlign w:val="center"/>
          </w:tcPr>
          <w:p>
            <w:pPr>
              <w:spacing w:before="20" w:after="40" w:line="252" w:lineRule="auto"/>
            </w:pPr>
            <w:r>
              <w:rPr>
                <w:rFonts w:ascii="Microsoft YaHei" w:hAnsi="Microsoft YaHei" w:eastAsia="Microsoft YaHei"/>
                <w:color w:val="1F2933"/>
                <w:sz w:val="16"/>
              </w:rPr>
              <w:t>UI 控制层。</w:t>
            </w:r>
          </w:p>
        </w:tc>
      </w:tr>
      <w:tr>
        <w:trPr>
          <w:cantSplit/>
        </w:trPr>
        <w:tc>
          <w:tcPr>
            <w:tcW w:type="dxa" w:w="950"/>
            <w:vAlign w:val="center"/>
          </w:tcPr>
          <w:p>
            <w:pPr>
              <w:spacing w:before="20" w:after="40" w:line="252" w:lineRule="auto"/>
            </w:pPr>
            <w:r>
              <w:rPr>
                <w:rFonts w:ascii="Microsoft YaHei" w:hAnsi="Microsoft YaHei" w:eastAsia="Microsoft YaHei"/>
                <w:color w:val="1F2933"/>
                <w:sz w:val="16"/>
              </w:rPr>
              <w:t>TBD-10</w:t>
            </w:r>
          </w:p>
        </w:tc>
        <w:tc>
          <w:tcPr>
            <w:tcW w:type="dxa" w:w="1700"/>
            <w:vAlign w:val="center"/>
          </w:tcPr>
          <w:p>
            <w:pPr>
              <w:spacing w:before="20" w:after="40" w:line="252" w:lineRule="auto"/>
            </w:pPr>
            <w:r>
              <w:rPr>
                <w:rFonts w:ascii="Microsoft YaHei" w:hAnsi="Microsoft YaHei" w:eastAsia="Microsoft YaHei"/>
                <w:color w:val="1F2933"/>
                <w:sz w:val="16"/>
              </w:rPr>
              <w:t>丢弃后行为</w:t>
            </w:r>
          </w:p>
        </w:tc>
        <w:tc>
          <w:tcPr>
            <w:tcW w:type="dxa" w:w="4550"/>
            <w:vAlign w:val="center"/>
          </w:tcPr>
          <w:p>
            <w:pPr>
              <w:spacing w:before="20" w:after="40" w:line="252" w:lineRule="auto"/>
            </w:pPr>
            <w:r>
              <w:rPr>
                <w:rFonts w:ascii="Microsoft YaHei" w:hAnsi="Microsoft YaHei" w:eastAsia="Microsoft YaHei"/>
                <w:color w:val="1F2933"/>
                <w:sz w:val="16"/>
              </w:rPr>
              <w:t>能否再次拾取、落点、是否永久消失。</w:t>
            </w:r>
          </w:p>
        </w:tc>
        <w:tc>
          <w:tcPr>
            <w:tcW w:type="dxa" w:w="2160"/>
            <w:vAlign w:val="center"/>
          </w:tcPr>
          <w:p>
            <w:pPr>
              <w:spacing w:before="20" w:after="40" w:line="252" w:lineRule="auto"/>
            </w:pPr>
            <w:r>
              <w:rPr>
                <w:rFonts w:ascii="Microsoft YaHei" w:hAnsi="Microsoft YaHei" w:eastAsia="Microsoft YaHei"/>
                <w:color w:val="1F2933"/>
                <w:sz w:val="16"/>
              </w:rPr>
              <w:t>物品生命周期。</w:t>
            </w:r>
          </w:p>
        </w:tc>
      </w:tr>
      <w:tr>
        <w:trPr>
          <w:cantSplit/>
        </w:trPr>
        <w:tc>
          <w:tcPr>
            <w:tcW w:type="dxa" w:w="950"/>
            <w:vAlign w:val="center"/>
          </w:tcPr>
          <w:p>
            <w:pPr>
              <w:spacing w:before="20" w:after="40" w:line="252" w:lineRule="auto"/>
            </w:pPr>
            <w:r>
              <w:rPr>
                <w:rFonts w:ascii="Microsoft YaHei" w:hAnsi="Microsoft YaHei" w:eastAsia="Microsoft YaHei"/>
                <w:color w:val="1F2933"/>
                <w:sz w:val="16"/>
              </w:rPr>
              <w:t>TBD-11</w:t>
            </w:r>
          </w:p>
        </w:tc>
        <w:tc>
          <w:tcPr>
            <w:tcW w:type="dxa" w:w="1700"/>
            <w:vAlign w:val="center"/>
          </w:tcPr>
          <w:p>
            <w:pPr>
              <w:spacing w:before="20" w:after="40" w:line="252" w:lineRule="auto"/>
            </w:pPr>
            <w:r>
              <w:rPr>
                <w:rFonts w:ascii="Microsoft YaHei" w:hAnsi="Microsoft YaHei" w:eastAsia="Microsoft YaHei"/>
                <w:color w:val="1F2933"/>
                <w:sz w:val="16"/>
              </w:rPr>
              <w:t>仓库</w:t>
            </w:r>
          </w:p>
        </w:tc>
        <w:tc>
          <w:tcPr>
            <w:tcW w:type="dxa" w:w="4550"/>
            <w:vAlign w:val="center"/>
          </w:tcPr>
          <w:p>
            <w:pPr>
              <w:spacing w:before="20" w:after="40" w:line="252" w:lineRule="auto"/>
            </w:pPr>
            <w:r>
              <w:rPr>
                <w:rFonts w:ascii="Microsoft YaHei" w:hAnsi="Microsoft YaHei" w:eastAsia="Microsoft YaHei"/>
                <w:color w:val="1F2933"/>
                <w:sz w:val="16"/>
              </w:rPr>
              <w:t>容量、排序、筛选、批量出售、出售确认、撤销。</w:t>
            </w:r>
          </w:p>
        </w:tc>
        <w:tc>
          <w:tcPr>
            <w:tcW w:type="dxa" w:w="2160"/>
            <w:vAlign w:val="center"/>
          </w:tcPr>
          <w:p>
            <w:pPr>
              <w:spacing w:before="20" w:after="40" w:line="252" w:lineRule="auto"/>
            </w:pPr>
            <w:r>
              <w:rPr>
                <w:rFonts w:ascii="Microsoft YaHei" w:hAnsi="Microsoft YaHei" w:eastAsia="Microsoft YaHei"/>
                <w:color w:val="1F2933"/>
                <w:sz w:val="16"/>
              </w:rPr>
              <w:t>局外 UI 与事务。</w:t>
            </w:r>
          </w:p>
        </w:tc>
      </w:tr>
      <w:tr>
        <w:trPr>
          <w:cantSplit/>
        </w:trPr>
        <w:tc>
          <w:tcPr>
            <w:tcW w:type="dxa" w:w="950"/>
            <w:vAlign w:val="center"/>
          </w:tcPr>
          <w:p>
            <w:pPr>
              <w:spacing w:before="20" w:after="40" w:line="252" w:lineRule="auto"/>
            </w:pPr>
            <w:r>
              <w:rPr>
                <w:rFonts w:ascii="Microsoft YaHei" w:hAnsi="Microsoft YaHei" w:eastAsia="Microsoft YaHei"/>
                <w:color w:val="1F2933"/>
                <w:sz w:val="16"/>
              </w:rPr>
              <w:t>TBD-12</w:t>
            </w:r>
          </w:p>
        </w:tc>
        <w:tc>
          <w:tcPr>
            <w:tcW w:type="dxa" w:w="1700"/>
            <w:vAlign w:val="center"/>
          </w:tcPr>
          <w:p>
            <w:pPr>
              <w:spacing w:before="20" w:after="40" w:line="252" w:lineRule="auto"/>
            </w:pPr>
            <w:r>
              <w:rPr>
                <w:rFonts w:ascii="Microsoft YaHei" w:hAnsi="Microsoft YaHei" w:eastAsia="Microsoft YaHei"/>
                <w:color w:val="1F2933"/>
                <w:sz w:val="16"/>
              </w:rPr>
              <w:t>持久化</w:t>
            </w:r>
          </w:p>
        </w:tc>
        <w:tc>
          <w:tcPr>
            <w:tcW w:type="dxa" w:w="4550"/>
            <w:vAlign w:val="center"/>
          </w:tcPr>
          <w:p>
            <w:pPr>
              <w:spacing w:before="20" w:after="40" w:line="252" w:lineRule="auto"/>
            </w:pPr>
            <w:r>
              <w:rPr>
                <w:rFonts w:ascii="Microsoft YaHei" w:hAnsi="Microsoft YaHei" w:eastAsia="Microsoft YaHei"/>
                <w:color w:val="1F2933"/>
                <w:sz w:val="16"/>
              </w:rPr>
              <w:t>是否要求跨应用重启、存储位置、版本迁移、云同步。</w:t>
            </w:r>
          </w:p>
        </w:tc>
        <w:tc>
          <w:tcPr>
            <w:tcW w:type="dxa" w:w="2160"/>
            <w:vAlign w:val="center"/>
          </w:tcPr>
          <w:p>
            <w:pPr>
              <w:spacing w:before="20" w:after="40" w:line="252" w:lineRule="auto"/>
            </w:pPr>
            <w:r>
              <w:rPr>
                <w:rFonts w:ascii="Microsoft YaHei" w:hAnsi="Microsoft YaHei" w:eastAsia="Microsoft YaHei"/>
                <w:color w:val="1F2933"/>
                <w:sz w:val="16"/>
              </w:rPr>
              <w:t>数据存储层。</w:t>
            </w:r>
          </w:p>
        </w:tc>
      </w:tr>
      <w:tr>
        <w:trPr>
          <w:cantSplit/>
        </w:trPr>
        <w:tc>
          <w:tcPr>
            <w:tcW w:type="dxa" w:w="950"/>
            <w:vAlign w:val="center"/>
          </w:tcPr>
          <w:p>
            <w:pPr>
              <w:spacing w:before="20" w:after="40" w:line="252" w:lineRule="auto"/>
            </w:pPr>
            <w:r>
              <w:rPr>
                <w:rFonts w:ascii="Microsoft YaHei" w:hAnsi="Microsoft YaHei" w:eastAsia="Microsoft YaHei"/>
                <w:color w:val="1F2933"/>
                <w:sz w:val="16"/>
              </w:rPr>
              <w:t>TBD-13</w:t>
            </w:r>
          </w:p>
        </w:tc>
        <w:tc>
          <w:tcPr>
            <w:tcW w:type="dxa" w:w="1700"/>
            <w:vAlign w:val="center"/>
          </w:tcPr>
          <w:p>
            <w:pPr>
              <w:spacing w:before="20" w:after="40" w:line="252" w:lineRule="auto"/>
            </w:pPr>
            <w:r>
              <w:rPr>
                <w:rFonts w:ascii="Microsoft YaHei" w:hAnsi="Microsoft YaHei" w:eastAsia="Microsoft YaHei"/>
                <w:color w:val="1F2933"/>
                <w:sz w:val="16"/>
              </w:rPr>
              <w:t>首发平台/技术栈</w:t>
            </w:r>
          </w:p>
        </w:tc>
        <w:tc>
          <w:tcPr>
            <w:tcW w:type="dxa" w:w="4550"/>
            <w:vAlign w:val="center"/>
          </w:tcPr>
          <w:p>
            <w:pPr>
              <w:spacing w:before="20" w:after="40" w:line="252" w:lineRule="auto"/>
            </w:pPr>
            <w:r>
              <w:rPr>
                <w:rFonts w:ascii="Microsoft YaHei" w:hAnsi="Microsoft YaHei" w:eastAsia="Microsoft YaHei"/>
                <w:color w:val="1F2933"/>
                <w:sz w:val="16"/>
              </w:rPr>
              <w:t>微信小游戏或 PC 轻量小游戏的最终选择、引擎与发布方式。</w:t>
            </w:r>
          </w:p>
        </w:tc>
        <w:tc>
          <w:tcPr>
            <w:tcW w:type="dxa" w:w="2160"/>
            <w:vAlign w:val="center"/>
          </w:tcPr>
          <w:p>
            <w:pPr>
              <w:spacing w:before="20" w:after="40" w:line="252" w:lineRule="auto"/>
            </w:pPr>
            <w:r>
              <w:rPr>
                <w:rFonts w:ascii="Microsoft YaHei" w:hAnsi="Microsoft YaHei" w:eastAsia="Microsoft YaHei"/>
                <w:color w:val="1F2933"/>
                <w:sz w:val="16"/>
              </w:rPr>
              <w:t>工程脚手架与输入/存储。</w:t>
            </w:r>
          </w:p>
        </w:tc>
      </w:tr>
      <w:tr>
        <w:trPr>
          <w:cantSplit/>
        </w:trPr>
        <w:tc>
          <w:tcPr>
            <w:tcW w:type="dxa" w:w="950"/>
            <w:vAlign w:val="center"/>
          </w:tcPr>
          <w:p>
            <w:pPr>
              <w:spacing w:before="20" w:after="40" w:line="252" w:lineRule="auto"/>
            </w:pPr>
            <w:r>
              <w:rPr>
                <w:rFonts w:ascii="Microsoft YaHei" w:hAnsi="Microsoft YaHei" w:eastAsia="Microsoft YaHei"/>
                <w:color w:val="1F2933"/>
                <w:sz w:val="16"/>
              </w:rPr>
              <w:t>TBD-14</w:t>
            </w:r>
          </w:p>
        </w:tc>
        <w:tc>
          <w:tcPr>
            <w:tcW w:type="dxa" w:w="1700"/>
            <w:vAlign w:val="center"/>
          </w:tcPr>
          <w:p>
            <w:pPr>
              <w:spacing w:before="20" w:after="40" w:line="252" w:lineRule="auto"/>
            </w:pPr>
            <w:r>
              <w:rPr>
                <w:rFonts w:ascii="Microsoft YaHei" w:hAnsi="Microsoft YaHei" w:eastAsia="Microsoft YaHei"/>
                <w:color w:val="1F2933"/>
                <w:sz w:val="16"/>
              </w:rPr>
              <w:t>美术色值与 UI</w:t>
            </w:r>
          </w:p>
        </w:tc>
        <w:tc>
          <w:tcPr>
            <w:tcW w:type="dxa" w:w="4550"/>
            <w:vAlign w:val="center"/>
          </w:tcPr>
          <w:p>
            <w:r>
              <w:t>五品质准确HEX、字体、最终面板细节、音效与更完整反馈；风格、1080P基准、64px格子与250～400ms翻转已暂定。</w:t>
            </w:r>
          </w:p>
        </w:tc>
        <w:tc>
          <w:tcPr>
            <w:tcW w:type="dxa" w:w="2160"/>
            <w:vAlign w:val="center"/>
          </w:tcPr>
          <w:p>
            <w:r>
              <w:t>未决细节不得阻塞按已批准基线实现功能性UI。</w:t>
            </w:r>
          </w:p>
        </w:tc>
      </w:tr>
    </w:tbl>
    <w:p>
      <w:pPr>
        <w:spacing w:after="0"/>
      </w:pPr>
    </w:p>
    <w:p>
      <w:pPr>
        <w:keepLines/>
        <w:spacing w:before="80" w:after="160"/>
        <w:ind w:left="144" w:right="86"/>
        <w:shd w:fill="FDECEC"/>
        <w:pBdr>
          <w:left w:val="single" w:sz="18" w:space="6" w:color="9B1C1C"/>
        </w:pBdr>
      </w:pPr>
      <w:r>
        <w:rPr>
          <w:rFonts w:ascii="Microsoft YaHei" w:hAnsi="Microsoft YaHei" w:eastAsia="Microsoft YaHei"/>
          <w:b/>
          <w:color w:val="9B1C1C"/>
          <w:sz w:val="21"/>
        </w:rPr>
        <w:t xml:space="preserve">禁止推断  </w:t>
      </w:r>
      <w:r>
        <w:rPr>
          <w:rFonts w:ascii="Microsoft YaHei" w:hAnsi="Microsoft YaHei" w:eastAsia="Microsoft YaHei"/>
          <w:color w:val="1F2933"/>
          <w:sz w:val="21"/>
        </w:rPr>
        <w:t>登记册不是授权 Codex 选择最简单方案。只有产品负责人明确回答并通过变更记录后，TBD 才能转为“已确认”或“暂定”。</w:t>
      </w:r>
    </w:p>
    <w:p>
      <w:pPr/>
      <w:r>
        <w:t>编号说明  TBD-05（V0.1背包）与TBD-06（V0.1安全箱）已由CR-001解除，编号永久保留且不复用。其未来正式经济/成长规则仍不属于V0.1。</w:t>
      </w:r>
    </w:p>
    <w:p>
      <w:pPr>
        <w:pStyle w:val="Heading1"/>
        <w:keepNext/>
      </w:pPr>
      <w:r>
        <w:t>13. 需求—验收追踪矩阵</w:t>
      </w:r>
    </w:p>
    <w:tbl>
      <w:tblPr>
        <w:tblStyle w:val="TableGrid"/>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00"/>
        <w:gridCol w:w="1800"/>
        <w:gridCol w:w="2200"/>
        <w:gridCol w:w="2560"/>
      </w:tblGrid>
      <w:tr>
        <w:trPr>
          <w:tblHeader w:val="true"/>
          <w:cantSplit/>
        </w:trPr>
        <w:tc>
          <w:tcPr>
            <w:tcW w:type="dxa" w:w="28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需求</w:t>
            </w:r>
          </w:p>
        </w:tc>
        <w:tc>
          <w:tcPr>
            <w:tcW w:type="dxa" w:w="18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规范章节</w:t>
            </w:r>
          </w:p>
        </w:tc>
        <w:tc>
          <w:tcPr>
            <w:tcW w:type="dxa" w:w="220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验收</w:t>
            </w:r>
          </w:p>
        </w:tc>
        <w:tc>
          <w:tcPr>
            <w:tcW w:type="dxa" w:w="2560"/>
            <w:tcMar>
              <w:top w:w="80" w:type="dxa"/>
              <w:start w:w="120" w:type="dxa"/>
              <w:bottom w:w="80" w:type="dxa"/>
              <w:end w:w="120" w:type="dxa"/>
            </w:tcMar>
            <w:shd w:fill="F2F4F7"/>
            <w:vAlign w:val="center"/>
          </w:tcPr>
          <w:p>
            <w:pPr>
              <w:spacing w:before="40" w:after="40"/>
            </w:pPr>
            <w:r>
              <w:rPr>
                <w:rFonts w:ascii="Microsoft YaHei" w:hAnsi="Microsoft YaHei" w:eastAsia="Microsoft YaHei"/>
                <w:b/>
                <w:color w:val="183B56"/>
                <w:sz w:val="17"/>
              </w:rPr>
              <w:t>关键不变量/协议</w:t>
            </w:r>
          </w:p>
        </w:tc>
      </w:tr>
      <w:tr>
        <w:trPr>
          <w:cantSplit/>
        </w:trPr>
        <w:tc>
          <w:tcPr>
            <w:tcW w:type="dxa" w:w="2800"/>
            <w:vAlign w:val="center"/>
          </w:tcPr>
          <w:p>
            <w:pPr>
              <w:spacing w:before="20" w:after="40" w:line="252" w:lineRule="auto"/>
            </w:pPr>
            <w:r>
              <w:rPr>
                <w:rFonts w:ascii="Microsoft YaHei" w:hAnsi="Microsoft YaHei" w:eastAsia="Microsoft YaHei"/>
                <w:color w:val="1F2933"/>
                <w:sz w:val="17"/>
              </w:rPr>
              <w:t>容器遮罩与逐件揭晓</w:t>
            </w:r>
          </w:p>
        </w:tc>
        <w:tc>
          <w:tcPr>
            <w:tcW w:type="dxa" w:w="1800"/>
            <w:vAlign w:val="center"/>
          </w:tcPr>
          <w:p>
            <w:pPr>
              <w:spacing w:before="20" w:after="40" w:line="252" w:lineRule="auto"/>
            </w:pPr>
            <w:r>
              <w:rPr>
                <w:rFonts w:ascii="Microsoft YaHei" w:hAnsi="Microsoft YaHei" w:eastAsia="Microsoft YaHei"/>
                <w:color w:val="1F2933"/>
                <w:sz w:val="17"/>
              </w:rPr>
              <w:t>5.1</w:t>
            </w:r>
          </w:p>
        </w:tc>
        <w:tc>
          <w:tcPr>
            <w:tcW w:type="dxa" w:w="2200"/>
            <w:vAlign w:val="center"/>
          </w:tcPr>
          <w:p>
            <w:pPr>
              <w:spacing w:before="20" w:after="40" w:line="252" w:lineRule="auto"/>
            </w:pPr>
            <w:r>
              <w:rPr>
                <w:rFonts w:ascii="Microsoft YaHei" w:hAnsi="Microsoft YaHei" w:eastAsia="Microsoft YaHei"/>
                <w:color w:val="1F2933"/>
                <w:sz w:val="17"/>
              </w:rPr>
              <w:t>AC-04、AC-05</w:t>
            </w:r>
          </w:p>
        </w:tc>
        <w:tc>
          <w:tcPr>
            <w:tcW w:type="dxa" w:w="2560"/>
            <w:vAlign w:val="center"/>
          </w:tcPr>
          <w:p>
            <w:pPr>
              <w:spacing w:before="20" w:after="40" w:line="252" w:lineRule="auto"/>
            </w:pPr>
            <w:r>
              <w:rPr>
                <w:rFonts w:ascii="Microsoft YaHei" w:hAnsi="Microsoft YaHei" w:eastAsia="Microsoft YaHei"/>
                <w:color w:val="1F2933"/>
                <w:sz w:val="17"/>
              </w:rPr>
              <w:t>INV-05</w:t>
            </w:r>
          </w:p>
        </w:tc>
      </w:tr>
      <w:tr>
        <w:trPr>
          <w:cantSplit/>
        </w:trPr>
        <w:tc>
          <w:tcPr>
            <w:tcW w:type="dxa" w:w="2800"/>
            <w:vAlign w:val="center"/>
          </w:tcPr>
          <w:p>
            <w:pPr>
              <w:spacing w:before="20" w:after="40" w:line="252" w:lineRule="auto"/>
            </w:pPr>
            <w:r>
              <w:rPr>
                <w:rFonts w:ascii="Microsoft YaHei" w:hAnsi="Microsoft YaHei" w:eastAsia="Microsoft YaHei"/>
                <w:color w:val="1F2933"/>
                <w:sz w:val="17"/>
              </w:rPr>
              <w:t>五品质与揭晓时间</w:t>
            </w:r>
          </w:p>
        </w:tc>
        <w:tc>
          <w:tcPr>
            <w:tcW w:type="dxa" w:w="1800"/>
            <w:vAlign w:val="center"/>
          </w:tcPr>
          <w:p>
            <w:pPr>
              <w:spacing w:before="20" w:after="40" w:line="252" w:lineRule="auto"/>
            </w:pPr>
            <w:r>
              <w:rPr>
                <w:rFonts w:ascii="Microsoft YaHei" w:hAnsi="Microsoft YaHei" w:eastAsia="Microsoft YaHei"/>
                <w:color w:val="1F2933"/>
                <w:sz w:val="17"/>
              </w:rPr>
              <w:t>5.1、5.2</w:t>
            </w:r>
          </w:p>
        </w:tc>
        <w:tc>
          <w:tcPr>
            <w:tcW w:type="dxa" w:w="2200"/>
            <w:vAlign w:val="center"/>
          </w:tcPr>
          <w:p>
            <w:pPr>
              <w:spacing w:before="20" w:after="40" w:line="252" w:lineRule="auto"/>
            </w:pPr>
            <w:r>
              <w:rPr>
                <w:rFonts w:ascii="Microsoft YaHei" w:hAnsi="Microsoft YaHei" w:eastAsia="Microsoft YaHei"/>
                <w:color w:val="1F2933"/>
                <w:sz w:val="17"/>
              </w:rPr>
              <w:t>AC-05、AC-16</w:t>
            </w:r>
          </w:p>
        </w:tc>
        <w:tc>
          <w:tcPr>
            <w:tcW w:type="dxa" w:w="2560"/>
            <w:vAlign w:val="center"/>
          </w:tcPr>
          <w:p>
            <w:pPr>
              <w:spacing w:before="20" w:after="40" w:line="252" w:lineRule="auto"/>
            </w:pPr>
            <w:r>
              <w:rPr>
                <w:rFonts w:ascii="Microsoft YaHei" w:hAnsi="Microsoft YaHei" w:eastAsia="Microsoft YaHei"/>
                <w:color w:val="1F2933"/>
                <w:sz w:val="17"/>
              </w:rPr>
              <w:t>配置单一来源</w:t>
            </w:r>
          </w:p>
        </w:tc>
      </w:tr>
      <w:tr>
        <w:trPr>
          <w:cantSplit/>
        </w:trPr>
        <w:tc>
          <w:tcPr>
            <w:tcW w:type="dxa" w:w="2800"/>
            <w:vAlign w:val="center"/>
          </w:tcPr>
          <w:p>
            <w:pPr>
              <w:spacing w:before="20" w:after="40" w:line="252" w:lineRule="auto"/>
            </w:pPr>
            <w:r>
              <w:rPr>
                <w:rFonts w:ascii="Microsoft YaHei" w:hAnsi="Microsoft YaHei" w:eastAsia="Microsoft YaHei"/>
                <w:color w:val="1F2933"/>
                <w:sz w:val="17"/>
              </w:rPr>
              <w:t>格子操作</w:t>
            </w:r>
          </w:p>
        </w:tc>
        <w:tc>
          <w:tcPr>
            <w:tcW w:type="dxa" w:w="1800"/>
            <w:vAlign w:val="center"/>
          </w:tcPr>
          <w:p>
            <w:pPr>
              <w:spacing w:before="20" w:after="40" w:line="252" w:lineRule="auto"/>
            </w:pPr>
            <w:r>
              <w:rPr>
                <w:rFonts w:ascii="Microsoft YaHei" w:hAnsi="Microsoft YaHei" w:eastAsia="Microsoft YaHei"/>
                <w:color w:val="1F2933"/>
                <w:sz w:val="17"/>
              </w:rPr>
              <w:t>5.3</w:t>
            </w:r>
          </w:p>
        </w:tc>
        <w:tc>
          <w:tcPr>
            <w:tcW w:type="dxa" w:w="2200"/>
            <w:vAlign w:val="center"/>
          </w:tcPr>
          <w:p>
            <w:pPr>
              <w:spacing w:before="20" w:after="40" w:line="252" w:lineRule="auto"/>
            </w:pPr>
            <w:r>
              <w:rPr>
                <w:rFonts w:ascii="Microsoft YaHei" w:hAnsi="Microsoft YaHei" w:eastAsia="Microsoft YaHei"/>
                <w:color w:val="1F2933"/>
                <w:sz w:val="17"/>
              </w:rPr>
              <w:t>AC-07、AC-08</w:t>
            </w:r>
          </w:p>
        </w:tc>
        <w:tc>
          <w:tcPr>
            <w:tcW w:type="dxa" w:w="2560"/>
            <w:vAlign w:val="center"/>
          </w:tcPr>
          <w:p>
            <w:pPr>
              <w:spacing w:before="20" w:after="40" w:line="252" w:lineRule="auto"/>
            </w:pPr>
            <w:r>
              <w:rPr>
                <w:rFonts w:ascii="Microsoft YaHei" w:hAnsi="Microsoft YaHei" w:eastAsia="Microsoft YaHei"/>
                <w:color w:val="1F2933"/>
                <w:sz w:val="17"/>
              </w:rPr>
              <w:t>INV-01～05</w:t>
            </w:r>
          </w:p>
        </w:tc>
      </w:tr>
      <w:tr>
        <w:trPr>
          <w:cantSplit/>
        </w:trPr>
        <w:tc>
          <w:tcPr>
            <w:tcW w:type="dxa" w:w="2800"/>
            <w:vAlign w:val="center"/>
          </w:tcPr>
          <w:p>
            <w:pPr>
              <w:spacing w:before="20" w:after="40" w:line="252" w:lineRule="auto"/>
            </w:pPr>
            <w:r>
              <w:rPr>
                <w:rFonts w:ascii="Microsoft YaHei" w:hAnsi="Microsoft YaHei" w:eastAsia="Microsoft YaHei"/>
                <w:color w:val="1F2933"/>
                <w:sz w:val="17"/>
              </w:rPr>
              <w:t>完成5容器解锁</w:t>
            </w:r>
          </w:p>
        </w:tc>
        <w:tc>
          <w:tcPr>
            <w:tcW w:type="dxa" w:w="1800"/>
            <w:vAlign w:val="center"/>
          </w:tcPr>
          <w:p>
            <w:pPr>
              <w:spacing w:before="20" w:after="40" w:line="252" w:lineRule="auto"/>
            </w:pPr>
            <w:r>
              <w:rPr>
                <w:rFonts w:ascii="Microsoft YaHei" w:hAnsi="Microsoft YaHei" w:eastAsia="Microsoft YaHei"/>
                <w:color w:val="1F2933"/>
                <w:sz w:val="17"/>
              </w:rPr>
              <w:t>5.4</w:t>
            </w:r>
          </w:p>
        </w:tc>
        <w:tc>
          <w:tcPr>
            <w:tcW w:type="dxa" w:w="2200"/>
            <w:vAlign w:val="center"/>
          </w:tcPr>
          <w:p>
            <w:pPr>
              <w:spacing w:before="20" w:after="40" w:line="252" w:lineRule="auto"/>
            </w:pPr>
            <w:r>
              <w:rPr>
                <w:rFonts w:ascii="Microsoft YaHei" w:hAnsi="Microsoft YaHei" w:eastAsia="Microsoft YaHei"/>
                <w:color w:val="1F2933"/>
                <w:sz w:val="17"/>
              </w:rPr>
              <w:t>AC-06、AC-09</w:t>
            </w:r>
          </w:p>
        </w:tc>
        <w:tc>
          <w:tcPr>
            <w:tcW w:type="dxa" w:w="2560"/>
            <w:vAlign w:val="center"/>
          </w:tcPr>
          <w:p>
            <w:pPr>
              <w:spacing w:before="20" w:after="40" w:line="252" w:lineRule="auto"/>
            </w:pPr>
            <w:r>
              <w:rPr>
                <w:rFonts w:ascii="Microsoft YaHei" w:hAnsi="Microsoft YaHei" w:eastAsia="Microsoft YaHei"/>
                <w:color w:val="1F2933"/>
                <w:sz w:val="17"/>
              </w:rPr>
              <w:t>INV-06、07</w:t>
            </w:r>
          </w:p>
        </w:tc>
      </w:tr>
      <w:tr>
        <w:trPr>
          <w:cantSplit/>
        </w:trPr>
        <w:tc>
          <w:tcPr>
            <w:tcW w:type="dxa" w:w="2800"/>
            <w:vAlign w:val="center"/>
          </w:tcPr>
          <w:p>
            <w:pPr>
              <w:spacing w:before="20" w:after="40" w:line="252" w:lineRule="auto"/>
            </w:pPr>
            <w:r>
              <w:rPr>
                <w:rFonts w:ascii="Microsoft YaHei" w:hAnsi="Microsoft YaHei" w:eastAsia="Microsoft YaHei"/>
                <w:color w:val="1F2933"/>
                <w:sz w:val="17"/>
              </w:rPr>
              <w:t>3分钟+15秒并行</w:t>
            </w:r>
          </w:p>
        </w:tc>
        <w:tc>
          <w:tcPr>
            <w:tcW w:type="dxa" w:w="1800"/>
            <w:vAlign w:val="center"/>
          </w:tcPr>
          <w:p>
            <w:pPr>
              <w:spacing w:before="20" w:after="40" w:line="252" w:lineRule="auto"/>
            </w:pPr>
            <w:r>
              <w:rPr>
                <w:rFonts w:ascii="Microsoft YaHei" w:hAnsi="Microsoft YaHei" w:eastAsia="Microsoft YaHei"/>
                <w:color w:val="1F2933"/>
                <w:sz w:val="17"/>
              </w:rPr>
              <w:t>4.4、5.4</w:t>
            </w:r>
          </w:p>
        </w:tc>
        <w:tc>
          <w:tcPr>
            <w:tcW w:type="dxa" w:w="2200"/>
            <w:vAlign w:val="center"/>
          </w:tcPr>
          <w:p>
            <w:pPr>
              <w:spacing w:before="20" w:after="40" w:line="252" w:lineRule="auto"/>
            </w:pPr>
            <w:r>
              <w:rPr>
                <w:rFonts w:ascii="Microsoft YaHei" w:hAnsi="Microsoft YaHei" w:eastAsia="Microsoft YaHei"/>
                <w:color w:val="1F2933"/>
                <w:sz w:val="17"/>
              </w:rPr>
              <w:t>AC-10、AC-11</w:t>
            </w:r>
          </w:p>
        </w:tc>
        <w:tc>
          <w:tcPr>
            <w:tcW w:type="dxa" w:w="2560"/>
            <w:vAlign w:val="center"/>
          </w:tcPr>
          <w:p>
            <w:pPr>
              <w:spacing w:before="20" w:after="40" w:line="252" w:lineRule="auto"/>
            </w:pPr>
            <w:r>
              <w:rPr>
                <w:rFonts w:ascii="Microsoft YaHei" w:hAnsi="Microsoft YaHei" w:eastAsia="Microsoft YaHei"/>
                <w:color w:val="1F2933"/>
                <w:sz w:val="17"/>
              </w:rPr>
              <w:t>INV-08</w:t>
            </w:r>
          </w:p>
        </w:tc>
      </w:tr>
      <w:tr>
        <w:trPr>
          <w:cantSplit/>
        </w:trPr>
        <w:tc>
          <w:tcPr>
            <w:tcW w:type="dxa" w:w="2800"/>
            <w:vAlign w:val="center"/>
          </w:tcPr>
          <w:p>
            <w:pPr>
              <w:spacing w:before="20" w:after="40" w:line="252" w:lineRule="auto"/>
            </w:pPr>
            <w:r>
              <w:rPr>
                <w:rFonts w:ascii="Microsoft YaHei" w:hAnsi="Microsoft YaHei" w:eastAsia="Microsoft YaHei"/>
                <w:color w:val="1F2933"/>
                <w:sz w:val="17"/>
              </w:rPr>
              <w:t>成功/失败保留</w:t>
            </w:r>
          </w:p>
        </w:tc>
        <w:tc>
          <w:tcPr>
            <w:tcW w:type="dxa" w:w="1800"/>
            <w:vAlign w:val="center"/>
          </w:tcPr>
          <w:p>
            <w:pPr>
              <w:spacing w:before="20" w:after="40" w:line="252" w:lineRule="auto"/>
            </w:pPr>
            <w:r>
              <w:rPr>
                <w:rFonts w:ascii="Microsoft YaHei" w:hAnsi="Microsoft YaHei" w:eastAsia="Microsoft YaHei"/>
                <w:color w:val="1F2933"/>
                <w:sz w:val="17"/>
              </w:rPr>
              <w:t>5.5</w:t>
            </w:r>
          </w:p>
        </w:tc>
        <w:tc>
          <w:tcPr>
            <w:tcW w:type="dxa" w:w="2200"/>
            <w:vAlign w:val="center"/>
          </w:tcPr>
          <w:p>
            <w:pPr>
              <w:spacing w:before="20" w:after="40" w:line="252" w:lineRule="auto"/>
            </w:pPr>
            <w:r>
              <w:rPr>
                <w:rFonts w:ascii="Microsoft YaHei" w:hAnsi="Microsoft YaHei" w:eastAsia="Microsoft YaHei"/>
                <w:color w:val="1F2933"/>
                <w:sz w:val="17"/>
              </w:rPr>
              <w:t>AC-12、AC-13</w:t>
            </w:r>
          </w:p>
        </w:tc>
        <w:tc>
          <w:tcPr>
            <w:tcW w:type="dxa" w:w="2560"/>
            <w:vAlign w:val="center"/>
          </w:tcPr>
          <w:p>
            <w:pPr>
              <w:spacing w:before="20" w:after="40" w:line="252" w:lineRule="auto"/>
            </w:pPr>
            <w:r>
              <w:rPr>
                <w:rFonts w:ascii="Microsoft YaHei" w:hAnsi="Microsoft YaHei" w:eastAsia="Microsoft YaHei"/>
                <w:color w:val="1F2933"/>
                <w:sz w:val="17"/>
              </w:rPr>
              <w:t>INV-09～11</w:t>
            </w:r>
          </w:p>
        </w:tc>
      </w:tr>
      <w:tr>
        <w:trPr>
          <w:cantSplit/>
        </w:trPr>
        <w:tc>
          <w:tcPr>
            <w:tcW w:type="dxa" w:w="2800"/>
            <w:vAlign w:val="center"/>
          </w:tcPr>
          <w:p>
            <w:pPr>
              <w:spacing w:before="20" w:after="40" w:line="252" w:lineRule="auto"/>
            </w:pPr>
            <w:r>
              <w:rPr>
                <w:rFonts w:ascii="Microsoft YaHei" w:hAnsi="Microsoft YaHei" w:eastAsia="Microsoft YaHei"/>
                <w:color w:val="1F2933"/>
                <w:sz w:val="17"/>
              </w:rPr>
              <w:t>仓库出售与货币</w:t>
            </w:r>
          </w:p>
        </w:tc>
        <w:tc>
          <w:tcPr>
            <w:tcW w:type="dxa" w:w="1800"/>
            <w:vAlign w:val="center"/>
          </w:tcPr>
          <w:p>
            <w:pPr>
              <w:spacing w:before="20" w:after="40" w:line="252" w:lineRule="auto"/>
            </w:pPr>
            <w:r>
              <w:rPr>
                <w:rFonts w:ascii="Microsoft YaHei" w:hAnsi="Microsoft YaHei" w:eastAsia="Microsoft YaHei"/>
                <w:color w:val="1F2933"/>
                <w:sz w:val="17"/>
              </w:rPr>
              <w:t>5.5</w:t>
            </w:r>
          </w:p>
        </w:tc>
        <w:tc>
          <w:tcPr>
            <w:tcW w:type="dxa" w:w="2200"/>
            <w:vAlign w:val="center"/>
          </w:tcPr>
          <w:p>
            <w:pPr>
              <w:spacing w:before="20" w:after="40" w:line="252" w:lineRule="auto"/>
            </w:pPr>
            <w:r>
              <w:rPr>
                <w:rFonts w:ascii="Microsoft YaHei" w:hAnsi="Microsoft YaHei" w:eastAsia="Microsoft YaHei"/>
                <w:color w:val="1F2933"/>
                <w:sz w:val="17"/>
              </w:rPr>
              <w:t>AC-14、AC-15</w:t>
            </w:r>
          </w:p>
        </w:tc>
        <w:tc>
          <w:tcPr>
            <w:tcW w:type="dxa" w:w="2560"/>
            <w:vAlign w:val="center"/>
          </w:tcPr>
          <w:p>
            <w:pPr>
              <w:spacing w:before="20" w:after="40" w:line="252" w:lineRule="auto"/>
            </w:pPr>
            <w:r>
              <w:rPr>
                <w:rFonts w:ascii="Microsoft YaHei" w:hAnsi="Microsoft YaHei" w:eastAsia="Microsoft YaHei"/>
                <w:color w:val="1F2933"/>
                <w:sz w:val="17"/>
              </w:rPr>
              <w:t>INV-12、13</w:t>
            </w:r>
          </w:p>
        </w:tc>
      </w:tr>
      <w:tr>
        <w:trPr>
          <w:cantSplit/>
        </w:trPr>
        <w:tc>
          <w:tcPr>
            <w:tcW w:type="dxa" w:w="2800"/>
            <w:vAlign w:val="center"/>
          </w:tcPr>
          <w:p>
            <w:pPr>
              <w:spacing w:before="20" w:after="40" w:line="252" w:lineRule="auto"/>
            </w:pPr>
            <w:r>
              <w:rPr>
                <w:rFonts w:ascii="Microsoft YaHei" w:hAnsi="Microsoft YaHei" w:eastAsia="Microsoft YaHei"/>
                <w:color w:val="1F2933"/>
                <w:sz w:val="17"/>
              </w:rPr>
              <w:t>连续循环</w:t>
            </w:r>
          </w:p>
        </w:tc>
        <w:tc>
          <w:tcPr>
            <w:tcW w:type="dxa" w:w="1800"/>
            <w:vAlign w:val="center"/>
          </w:tcPr>
          <w:p>
            <w:pPr>
              <w:spacing w:before="20" w:after="40" w:line="252" w:lineRule="auto"/>
            </w:pPr>
            <w:r>
              <w:rPr>
                <w:rFonts w:ascii="Microsoft YaHei" w:hAnsi="Microsoft YaHei" w:eastAsia="Microsoft YaHei"/>
                <w:color w:val="1F2933"/>
                <w:sz w:val="17"/>
              </w:rPr>
              <w:t>1.2、4.1</w:t>
            </w:r>
          </w:p>
        </w:tc>
        <w:tc>
          <w:tcPr>
            <w:tcW w:type="dxa" w:w="2200"/>
            <w:vAlign w:val="center"/>
          </w:tcPr>
          <w:p>
            <w:pPr>
              <w:spacing w:before="20" w:after="40" w:line="252" w:lineRule="auto"/>
            </w:pPr>
            <w:r>
              <w:rPr>
                <w:rFonts w:ascii="Microsoft YaHei" w:hAnsi="Microsoft YaHei" w:eastAsia="Microsoft YaHei"/>
                <w:color w:val="1F2933"/>
                <w:sz w:val="17"/>
              </w:rPr>
              <w:t>AC-15</w:t>
            </w:r>
          </w:p>
        </w:tc>
        <w:tc>
          <w:tcPr>
            <w:tcW w:type="dxa" w:w="2560"/>
            <w:vAlign w:val="center"/>
          </w:tcPr>
          <w:p>
            <w:pPr>
              <w:spacing w:before="20" w:after="40" w:line="252" w:lineRule="auto"/>
            </w:pPr>
            <w:r>
              <w:rPr>
                <w:rFonts w:ascii="Microsoft YaHei" w:hAnsi="Microsoft YaHei" w:eastAsia="Microsoft YaHei"/>
                <w:color w:val="1F2933"/>
                <w:sz w:val="17"/>
              </w:rPr>
              <w:t>INV-14</w:t>
            </w:r>
          </w:p>
        </w:tc>
      </w:tr>
      <w:tr>
        <w:trPr>
          <w:cantSplit/>
        </w:trPr>
        <w:tc>
          <w:tcPr>
            <w:tcW w:type="dxa" w:w="2800"/>
            <w:vAlign w:val="center"/>
          </w:tcPr>
          <w:p>
            <w:pPr>
              <w:spacing w:before="20" w:after="40" w:line="252" w:lineRule="auto"/>
            </w:pPr>
            <w:r>
              <w:rPr>
                <w:rFonts w:ascii="Microsoft YaHei" w:hAnsi="Microsoft YaHei" w:eastAsia="Microsoft YaHei"/>
                <w:color w:val="1F2933"/>
                <w:sz w:val="17"/>
              </w:rPr>
              <w:t>V0.1 禁止成长/战斗</w:t>
            </w:r>
          </w:p>
        </w:tc>
        <w:tc>
          <w:tcPr>
            <w:tcW w:type="dxa" w:w="1800"/>
            <w:vAlign w:val="center"/>
          </w:tcPr>
          <w:p>
            <w:pPr>
              <w:spacing w:before="20" w:after="40" w:line="252" w:lineRule="auto"/>
            </w:pPr>
            <w:r>
              <w:rPr>
                <w:rFonts w:ascii="Microsoft YaHei" w:hAnsi="Microsoft YaHei" w:eastAsia="Microsoft YaHei"/>
                <w:color w:val="1F2933"/>
                <w:sz w:val="17"/>
              </w:rPr>
              <w:t>1.3、3.2、3.3</w:t>
            </w:r>
          </w:p>
        </w:tc>
        <w:tc>
          <w:tcPr>
            <w:tcW w:type="dxa" w:w="2200"/>
            <w:vAlign w:val="center"/>
          </w:tcPr>
          <w:p>
            <w:pPr>
              <w:spacing w:before="20" w:after="40" w:line="252" w:lineRule="auto"/>
            </w:pPr>
            <w:r>
              <w:rPr>
                <w:rFonts w:ascii="Microsoft YaHei" w:hAnsi="Microsoft YaHei" w:eastAsia="Microsoft YaHei"/>
                <w:color w:val="1F2933"/>
                <w:sz w:val="17"/>
              </w:rPr>
              <w:t>范围审查</w:t>
            </w:r>
          </w:p>
        </w:tc>
        <w:tc>
          <w:tcPr>
            <w:tcW w:type="dxa" w:w="2560"/>
            <w:vAlign w:val="center"/>
          </w:tcPr>
          <w:p>
            <w:pPr>
              <w:spacing w:before="20" w:after="40" w:line="252" w:lineRule="auto"/>
            </w:pPr>
            <w:r>
              <w:rPr>
                <w:rFonts w:ascii="Microsoft YaHei" w:hAnsi="Microsoft YaHei" w:eastAsia="Microsoft YaHei"/>
                <w:color w:val="1F2933"/>
                <w:sz w:val="17"/>
              </w:rPr>
              <w:t>P-03、P-04</w:t>
            </w:r>
          </w:p>
        </w:tc>
      </w:tr>
      <w:tr>
        <w:tc>
          <w:tcPr>
            <w:tcW w:type="dxa" w:w="2800"/>
            <w:vAlign w:val="center"/>
          </w:tcPr>
          <w:p>
            <w:r>
              <w:t>图形化核心搜刮与未知遮罩</w:t>
            </w:r>
          </w:p>
        </w:tc>
        <w:tc>
          <w:tcPr>
            <w:tcW w:type="dxa" w:w="1800"/>
            <w:vAlign w:val="center"/>
          </w:tcPr>
          <w:p>
            <w:r>
              <w:t>3.4、5.1</w:t>
            </w:r>
          </w:p>
        </w:tc>
        <w:tc>
          <w:tcPr>
            <w:tcW w:type="dxa" w:w="2200"/>
            <w:vAlign w:val="center"/>
          </w:tcPr>
          <w:p>
            <w:r>
              <w:t>AC-17、AC-18</w:t>
            </w:r>
          </w:p>
        </w:tc>
        <w:tc>
          <w:tcPr>
            <w:tcW w:type="dxa" w:w="2560"/>
            <w:vAlign w:val="center"/>
          </w:tcPr>
          <w:p>
            <w:r>
              <w:t>INV-05</w:t>
            </w:r>
          </w:p>
        </w:tc>
      </w:tr>
      <w:tr>
        <w:tc>
          <w:tcPr>
            <w:tcW w:type="dxa" w:w="2800"/>
            <w:vAlign w:val="center"/>
          </w:tcPr>
          <w:p>
            <w:r>
              <w:t>C1-C5品质概率与独立抽取</w:t>
            </w:r>
          </w:p>
        </w:tc>
        <w:tc>
          <w:tcPr>
            <w:tcW w:type="dxa" w:w="1800"/>
            <w:vAlign w:val="center"/>
          </w:tcPr>
          <w:p>
            <w:r>
              <w:t>5.6、6.1</w:t>
            </w:r>
          </w:p>
        </w:tc>
        <w:tc>
          <w:tcPr>
            <w:tcW w:type="dxa" w:w="2200"/>
            <w:vAlign w:val="center"/>
          </w:tcPr>
          <w:p>
            <w:r>
              <w:t>AC-19</w:t>
            </w:r>
          </w:p>
        </w:tc>
        <w:tc>
          <w:tcPr>
            <w:tcW w:type="dxa" w:w="2560"/>
            <w:vAlign w:val="center"/>
          </w:tcPr>
          <w:p>
            <w:r>
              <w:t>INV-16</w:t>
            </w:r>
          </w:p>
        </w:tc>
      </w:tr>
      <w:tr>
        <w:tc>
          <w:tcPr>
            <w:tcW w:type="dxa" w:w="2800"/>
            <w:vAlign w:val="center"/>
          </w:tcPr>
          <w:p>
            <w:r>
              <w:t>ContainerType/Tier/GridSize解耦</w:t>
            </w:r>
          </w:p>
        </w:tc>
        <w:tc>
          <w:tcPr>
            <w:tcW w:type="dxa" w:w="1800"/>
            <w:vAlign w:val="center"/>
          </w:tcPr>
          <w:p>
            <w:r>
              <w:t>5.6、6.2</w:t>
            </w:r>
          </w:p>
        </w:tc>
        <w:tc>
          <w:tcPr>
            <w:tcW w:type="dxa" w:w="2200"/>
            <w:vAlign w:val="center"/>
          </w:tcPr>
          <w:p>
            <w:r>
              <w:t>AC-20</w:t>
            </w:r>
          </w:p>
        </w:tc>
        <w:tc>
          <w:tcPr>
            <w:tcW w:type="dxa" w:w="2560"/>
            <w:vAlign w:val="center"/>
          </w:tcPr>
          <w:p>
            <w:r>
              <w:t>INV-15</w:t>
            </w:r>
          </w:p>
        </w:tc>
      </w:tr>
      <w:tr>
        <w:tc>
          <w:tcPr>
            <w:tcW w:type="dxa" w:w="2800"/>
            <w:vAlign w:val="center"/>
          </w:tcPr>
          <w:p>
            <w:r>
              <w:t>V0.1测试经济</w:t>
            </w:r>
          </w:p>
        </w:tc>
        <w:tc>
          <w:tcPr>
            <w:tcW w:type="dxa" w:w="1800"/>
            <w:vAlign w:val="center"/>
          </w:tcPr>
          <w:p>
            <w:r>
              <w:t>5.3、6.2</w:t>
            </w:r>
          </w:p>
        </w:tc>
        <w:tc>
          <w:tcPr>
            <w:tcW w:type="dxa" w:w="2200"/>
            <w:vAlign w:val="center"/>
          </w:tcPr>
          <w:p>
            <w:r>
              <w:t>AC-02、AC-21</w:t>
            </w:r>
          </w:p>
        </w:tc>
        <w:tc>
          <w:tcPr>
            <w:tcW w:type="dxa" w:w="2560"/>
            <w:vAlign w:val="center"/>
          </w:tcPr>
          <w:p>
            <w:r>
              <w:t>INV-12、16</w:t>
            </w:r>
          </w:p>
        </w:tc>
      </w:tr>
      <w:tr>
        <w:tc>
          <w:tcPr>
            <w:tcW w:type="dxa" w:w="2800"/>
            <w:vAlign w:val="center"/>
          </w:tcPr>
          <w:p>
            <w:r>
              <w:t>1080P视觉与动态UI</w:t>
            </w:r>
          </w:p>
        </w:tc>
        <w:tc>
          <w:tcPr>
            <w:tcW w:type="dxa" w:w="1800"/>
            <w:vAlign w:val="center"/>
          </w:tcPr>
          <w:p>
            <w:r>
              <w:t>3.4、6.1</w:t>
            </w:r>
          </w:p>
        </w:tc>
        <w:tc>
          <w:tcPr>
            <w:tcW w:type="dxa" w:w="2200"/>
            <w:vAlign w:val="center"/>
          </w:tcPr>
          <w:p>
            <w:r>
              <w:t>AC-17、AC-22</w:t>
            </w:r>
          </w:p>
        </w:tc>
        <w:tc>
          <w:tcPr>
            <w:tcW w:type="dxa" w:w="2560"/>
            <w:vAlign w:val="center"/>
          </w:tcPr>
          <w:p>
            <w:r>
              <w:t>配置单一来源</w:t>
            </w:r>
          </w:p>
        </w:tc>
      </w:tr>
      <w:tr>
        <w:tc>
          <w:tcPr>
            <w:tcW w:type="dxa" w:w="2800"/>
            <w:vAlign w:val="center"/>
          </w:tcPr>
          <w:p>
            <w:r>
              <w:t>BUG安全与受保护区</w:t>
            </w:r>
          </w:p>
        </w:tc>
        <w:tc>
          <w:tcPr>
            <w:tcW w:type="dxa" w:w="1800"/>
            <w:vAlign w:val="center"/>
          </w:tcPr>
          <w:p>
            <w:r>
              <w:t>10.5、11.3～11.5</w:t>
            </w:r>
          </w:p>
        </w:tc>
        <w:tc>
          <w:tcPr>
            <w:tcW w:type="dxa" w:w="2200"/>
            <w:vAlign w:val="center"/>
          </w:tcPr>
          <w:p>
            <w:r>
              <w:t>AC-23</w:t>
            </w:r>
          </w:p>
        </w:tc>
        <w:tc>
          <w:tcPr>
            <w:tcW w:type="dxa" w:w="2560"/>
            <w:vAlign w:val="center"/>
          </w:tcPr>
          <w:p>
            <w:r>
              <w:t>P-13～15</w:t>
            </w:r>
          </w:p>
        </w:tc>
      </w:tr>
      <w:tr>
        <w:tc>
          <w:tcPr>
            <w:tcW w:type="dxa" w:w="2800"/>
            <w:vAlign w:val="center"/>
          </w:tcPr>
          <w:p>
            <w:r>
              <w:t>Git与工作包闭环</w:t>
            </w:r>
          </w:p>
        </w:tc>
        <w:tc>
          <w:tcPr>
            <w:tcW w:type="dxa" w:w="1800"/>
            <w:vAlign w:val="center"/>
          </w:tcPr>
          <w:p>
            <w:r>
              <w:t>11.1～11.2</w:t>
            </w:r>
          </w:p>
        </w:tc>
        <w:tc>
          <w:tcPr>
            <w:tcW w:type="dxa" w:w="2200"/>
            <w:vAlign w:val="center"/>
          </w:tcPr>
          <w:p>
            <w:r>
              <w:t>AC-24</w:t>
            </w:r>
          </w:p>
        </w:tc>
        <w:tc>
          <w:tcPr>
            <w:tcW w:type="dxa" w:w="2560"/>
            <w:vAlign w:val="center"/>
          </w:tcPr>
          <w:p>
            <w:r>
              <w:t>P-16</w:t>
            </w:r>
          </w:p>
        </w:tc>
      </w:tr>
      <w:tr>
        <w:tc>
          <w:tcPr>
            <w:tcW w:type="dxa" w:w="2800"/>
            <w:vAlign w:val="center"/>
          </w:tcPr>
          <w:p>
            <w:r>
              <w:t>项目经理/执行层协作</w:t>
            </w:r>
          </w:p>
        </w:tc>
        <w:tc>
          <w:tcPr>
            <w:tcW w:type="dxa" w:w="1800"/>
            <w:vAlign w:val="center"/>
          </w:tcPr>
          <w:p>
            <w:r>
              <w:t>10.3～10.4</w:t>
            </w:r>
          </w:p>
        </w:tc>
        <w:tc>
          <w:tcPr>
            <w:tcW w:type="dxa" w:w="2200"/>
            <w:vAlign w:val="center"/>
          </w:tcPr>
          <w:p>
            <w:r>
              <w:t>交付与决策记录审查</w:t>
            </w:r>
          </w:p>
        </w:tc>
        <w:tc>
          <w:tcPr>
            <w:tcW w:type="dxa" w:w="2560"/>
            <w:vAlign w:val="center"/>
          </w:tcPr>
          <w:p>
            <w:r>
              <w:t>P-17</w:t>
            </w:r>
          </w:p>
        </w:tc>
      </w:tr>
    </w:tbl>
    <w:p>
      <w:pPr>
        <w:spacing w:after="0"/>
      </w:pPr>
    </w:p>
    <w:p>
      <w:pPr>
        <w:pStyle w:val="Heading1"/>
        <w:keepNext/>
      </w:pPr>
      <w:r>
        <w:t>附录 A：当前确认基线摘要</w:t>
      </w:r>
    </w:p>
    <w:p>
      <w:pPr>
        <w:keepLines w:val="0"/>
      </w:pPr>
      <w:r>
        <w:rPr>
          <w:rFonts w:ascii="Microsoft YaHei" w:hAnsi="Microsoft YaHei" w:eastAsia="Microsoft YaHei"/>
          <w:color w:val="1F2933"/>
        </w:rPr>
        <w:t>用于快速检查，不替代正文：</w:t>
      </w:r>
    </w:p>
    <w:p>
      <w:pPr>
        <w:pStyle w:val="ListBullet"/>
      </w:pPr>
      <w:r>
        <w:rPr>
          <w:rFonts w:ascii="Microsoft YaHei" w:hAnsi="Microsoft YaHei" w:eastAsia="Microsoft YaHei"/>
          <w:color w:val="1F2933"/>
        </w:rPr>
        <w:t>类型：超轻量格子搜撤，非盗墓题材。</w:t>
      </w:r>
    </w:p>
    <w:p>
      <w:pPr>
        <w:pStyle w:val="ListBullet"/>
      </w:pPr>
      <w:r>
        <w:rPr>
          <w:rFonts w:ascii="Microsoft YaHei" w:hAnsi="Microsoft YaHei" w:eastAsia="Microsoft YaHei"/>
          <w:color w:val="1F2933"/>
        </w:rPr>
        <w:t>V0.1：技术原型，只验“能不能用”。</w:t>
      </w:r>
    </w:p>
    <w:p>
      <w:pPr>
        <w:pStyle w:val="ListBullet"/>
      </w:pPr>
      <w:r>
        <w:rPr>
          <w:rFonts w:ascii="Microsoft YaHei" w:hAnsi="Microsoft YaHei" w:eastAsia="Microsoft YaHei"/>
          <w:color w:val="1F2933"/>
        </w:rPr>
        <w:t>单局：暂定 180 秒。</w:t>
      </w:r>
    </w:p>
    <w:p>
      <w:pPr>
        <w:pStyle w:val="ListBullet"/>
      </w:pPr>
      <w:r>
        <w:rPr>
          <w:rFonts w:ascii="Microsoft YaHei" w:hAnsi="Microsoft YaHei" w:eastAsia="Microsoft YaHei"/>
          <w:color w:val="1F2933"/>
        </w:rPr>
        <w:t>搜索：先显示未知数量与格子形状，再逐件揭晓。</w:t>
      </w:r>
    </w:p>
    <w:p>
      <w:pPr>
        <w:pStyle w:val="ListBullet"/>
      </w:pPr>
      <w:r>
        <w:t>品质：白/蓝/紫/金/红；暂定搜索等待时间0.5/1/2/3/5秒；基础翻转约250～400ms。</w:t>
      </w:r>
    </w:p>
    <w:p>
      <w:pPr>
        <w:pStyle w:val="ListBullet"/>
      </w:pPr>
      <w:r>
        <w:rPr>
          <w:rFonts w:ascii="Microsoft YaHei" w:hAnsi="Microsoft YaHei" w:eastAsia="Microsoft YaHei"/>
          <w:color w:val="1F2933"/>
        </w:rPr>
        <w:t>物品表现：纯色色块。</w:t>
      </w:r>
    </w:p>
    <w:p>
      <w:pPr>
        <w:pStyle w:val="ListBullet"/>
      </w:pPr>
      <w:r>
        <w:rPr>
          <w:rFonts w:ascii="Microsoft YaHei" w:hAnsi="Microsoft YaHei" w:eastAsia="Microsoft YaHei"/>
          <w:color w:val="1F2933"/>
        </w:rPr>
        <w:t>格子操作：拾取、拖拽、替换、丢弃、旋转。</w:t>
      </w:r>
    </w:p>
    <w:p>
      <w:pPr>
        <w:pStyle w:val="ListBullet"/>
      </w:pPr>
      <w:r>
        <w:rPr>
          <w:rFonts w:ascii="Microsoft YaHei" w:hAnsi="Microsoft YaHei" w:eastAsia="Microsoft YaHei"/>
          <w:color w:val="1F2933"/>
        </w:rPr>
        <w:t>撤离：完成 5 个容器搜索后解锁；暂定读条 15 秒；总计时继续。</w:t>
      </w:r>
    </w:p>
    <w:p>
      <w:pPr>
        <w:pStyle w:val="ListBullet"/>
      </w:pPr>
      <w:r>
        <w:rPr>
          <w:rFonts w:ascii="Microsoft YaHei" w:hAnsi="Microsoft YaHei" w:eastAsia="Microsoft YaHei"/>
          <w:color w:val="1F2933"/>
        </w:rPr>
        <w:t>结算：成功带回背包+安全箱；失败仅保留安全箱。</w:t>
      </w:r>
    </w:p>
    <w:p>
      <w:pPr>
        <w:pStyle w:val="ListBullet"/>
      </w:pPr>
      <w:r>
        <w:rPr>
          <w:rFonts w:ascii="Microsoft YaHei" w:hAnsi="Microsoft YaHei" w:eastAsia="Microsoft YaHei"/>
          <w:color w:val="1F2933"/>
        </w:rPr>
        <w:t>局外：仓库、出售、货币；入场前购买/选择背包并扣款。</w:t>
      </w:r>
    </w:p>
    <w:p>
      <w:pPr>
        <w:pStyle w:val="ListBullet"/>
      </w:pPr>
      <w:r>
        <w:rPr>
          <w:rFonts w:ascii="Microsoft YaHei" w:hAnsi="Microsoft YaHei" w:eastAsia="Microsoft YaHei"/>
          <w:color w:val="1F2933"/>
        </w:rPr>
        <w:t>V0.1 禁止：战斗、成长系统、正式美术与未批准扩展。</w:t>
      </w:r>
    </w:p>
    <w:p>
      <w:pPr>
        <w:pStyle w:val="ListBullet"/>
      </w:pPr>
      <w:r>
        <w:rPr>
          <w:rFonts w:ascii="Microsoft YaHei" w:hAnsi="Microsoft YaHei" w:eastAsia="Microsoft YaHei"/>
          <w:color w:val="1F2933"/>
        </w:rPr>
        <w:t>未来：背包/安全箱由账号等级或累计带出价值解锁购买权限；不以材料升级。安全箱未来四档 1×2/2×2/2×3/3×3。</w:t>
      </w:r>
    </w:p>
    <w:p>
      <w:pPr>
        <w:pStyle w:val="ListBullet"/>
      </w:pPr>
      <w:r>
        <w:rPr>
          <w:rFonts w:ascii="Microsoft YaHei" w:hAnsi="Microsoft YaHei" w:eastAsia="Microsoft YaHei"/>
          <w:color w:val="1F2933"/>
        </w:rPr>
        <w:t>未来成长方向：搜索速度、移动效率、危险判定、出售费率；未来危险通过事件选项加入。</w:t>
      </w:r>
    </w:p>
    <w:p>
      <w:pPr>
        <w:pStyle w:val="ListBullet"/>
      </w:pPr>
      <w:r>
        <w:rPr>
          <w:rFonts w:ascii="Microsoft YaHei" w:hAnsi="Microsoft YaHei" w:eastAsia="Microsoft YaHei"/>
          <w:color w:val="1F2933"/>
        </w:rPr>
        <w:t>未决红线：地图移动、搜索中断/恢复、容器内搜索顺序等不得由 Codex 自行决定。</w:t>
      </w:r>
    </w:p>
    <w:p>
      <w:pPr>
        <w:pStyle w:val="ListBullet"/>
      </w:pPr>
      <w:r>
        <w:t>图形化核心：容器、二维格子、背包、安全箱、未知遮罩、揭晓、品质与价值反馈必须图形化；未知遮罩完整占格且不得使用剪影。</w:t>
      </w:r>
    </w:p>
    <w:p>
      <w:pPr>
        <w:pStyle w:val="ListBullet"/>
      </w:pPr>
      <w:r>
        <w:t>视觉暂定：1920×1080/16:9；轻松干净2D扁平卡通UI+轻微工业感；64px格子配置化；翻转约250～400ms。</w:t>
      </w:r>
    </w:p>
    <w:p>
      <w:pPr>
        <w:pStyle w:val="ListBullet"/>
      </w:pPr>
      <w:r>
        <w:t>容器暂定：C1～C5独立品质权重，每件物品独立抽取；废弃工厂建议3×3/4×4/5×5/6×5/6×6；所有容器1～3件。</w:t>
      </w:r>
    </w:p>
    <w:p>
      <w:pPr>
        <w:pStyle w:val="ListBullet"/>
      </w:pPr>
      <w:r>
        <w:t>测试经济暂定：初始100000；背包4×4/5×5/6×6为1000/2500/5000；2×2安全箱默认拥有且免费。</w:t>
      </w:r>
    </w:p>
    <w:p>
      <w:pPr>
        <w:pStyle w:val="ListBullet"/>
      </w:pPr>
      <w:r>
        <w:t>工程治理：集中配置单一来源；Git可回退；小工作包；受保护核心区审批；BUG先复现定位再最小修复。</w:t>
      </w:r>
    </w:p>
    <w:p>
      <w:pPr>
        <w:pStyle w:val="Heading1"/>
        <w:keepNext/>
      </w:pPr>
      <w:r>
        <w:t>附录 B：文档确认</w:t>
      </w:r>
    </w:p>
    <w:p>
      <w:pPr>
        <w:keepLines w:val="0"/>
      </w:pPr>
      <w:r>
        <w:t>本版已根据产品负责人明确要求同步截至2026-08-21的已批准讨论，并作为V0.1开发、自查和验收的上位规范。后续任何新决策仍必须走变更控制；未批准TBD不得由Codex自行解决。</w:t>
      </w:r>
    </w:p>
    <w:sectPr w:rsidR="00FC693F" w:rsidRPr="0006063C" w:rsidSect="00034616">
      <w:headerReference w:type="default" r:id="rId9"/>
      <w:footerReference w:type="default" r:id="rId10"/>
      <w:pgSz w:w="12240" w:h="15840"/>
      <w:pgMar w:top="1440" w:right="1440" w:bottom="1440"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Microsoft YaHei" w:hAnsi="Microsoft YaHei" w:eastAsia="Microsoft YaHei"/>
        <w:color w:val="667085"/>
        <w:sz w:val="18"/>
      </w:rPr>
      <w:t xml:space="preserve">第 </w:t>
    </w:r>
    <w:r>
      <w:rPr>
        <w:rFonts w:ascii="Microsoft YaHei" w:hAnsi="Microsoft YaHei" w:eastAsia="Microsoft YaHei"/>
        <w:color w:val="667085"/>
        <w:sz w:val="18"/>
      </w:rPr>
      <w:fldChar w:fldCharType="begin"/>
      <w:instrText xml:space="preserve">PAGE</w:instrText>
      <w:fldChar w:fldCharType="separate"/>
      <w:t>1</w:t>
      <w:fldChar w:fldCharType="end"/>
    </w:r>
    <w:r>
      <w:rPr>
        <w:rFonts w:ascii="Microsoft YaHei" w:hAnsi="Microsoft YaHei" w:eastAsia="Microsoft YaHei"/>
        <w:color w:val="667085"/>
        <w:sz w:val="18"/>
      </w:rPr>
      <w:t xml:space="preserve"> 页 / 共 </w:t>
    </w:r>
    <w:r>
      <w:rPr>
        <w:rFonts w:ascii="Microsoft YaHei" w:hAnsi="Microsoft YaHei" w:eastAsia="Microsoft YaHei"/>
        <w:color w:val="667085"/>
        <w:sz w:val="18"/>
      </w:rPr>
      <w:fldChar w:fldCharType="begin"/>
      <w:instrText xml:space="preserve">NUMPAGES</w:instrText>
      <w:fldChar w:fldCharType="separate"/>
      <w:t>1</w:t>
      <w:fldChar w:fldCharType="end"/>
    </w:r>
    <w:r>
      <w:rPr>
        <w:rFonts w:ascii="Microsoft YaHei" w:hAnsi="Microsoft YaHe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color w:val="667085"/>
        <w:sz w:val="17"/>
      </w:rPr>
      <w:t>轻量格子搜撤游戏  |  Prototype V0.1 项目规范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icrosoft YaHei" w:hAnsi="Microsoft YaHei" w:eastAsia="Microsoft YaHe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spacing w:after="80"/>
      <w:ind w:left="1080" w:hanging="360"/>
      <w:contextualSpacing/>
    </w:pPr>
    <w:rPr>
      <w:rFonts w:ascii="Microsoft YaHei" w:hAnsi="Microsoft YaHei" w:eastAsia="Microsoft YaHe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spacing w:after="80"/>
      <w:ind w:left="1080" w:hanging="360"/>
      <w:contextualSpacing/>
    </w:pPr>
    <w:rPr>
      <w:rFonts w:ascii="Microsoft YaHei" w:hAnsi="Microsoft YaHei" w:eastAsia="Microsoft YaHe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轻量格子搜撤游戏 Prototype V0.1 项目规范</dc:title>
  <dc:subject>Codex 强约束执行版 V0.1-baseline-02</dc:subject>
  <dc:creator>Codex（依据用户已确认需求整理）</dc:creator>
  <cp:keywords>Prototype V0.1, 格子搜撤, Codex, 项目规范, 验收</cp:keywords>
  <dc:description>CR-001：同步2026-08-21前已批准的产品与工程治理讨论。</dc:description>
  <cp:lastModifiedBy/>
  <cp:revision>1</cp:revision>
  <dcterms:created xsi:type="dcterms:W3CDTF">2013-12-23T23:15:00Z</dcterms:created>
  <dcterms:modified xsi:type="dcterms:W3CDTF">2013-12-23T23:15:00Z</dcterms:modified>
  <cp:category/>
</cp:coreProperties>
</file>