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FE233" w14:textId="77777777" w:rsidR="000808C4" w:rsidRPr="004D7379" w:rsidRDefault="000808C4">
      <w:pPr>
        <w:pStyle w:val="Title"/>
        <w:outlineLvl w:val="0"/>
        <w:rPr>
          <w:sz w:val="40"/>
          <w:szCs w:val="40"/>
        </w:rPr>
      </w:pPr>
      <w:r w:rsidRPr="004D7379">
        <w:rPr>
          <w:sz w:val="40"/>
          <w:szCs w:val="40"/>
        </w:rPr>
        <w:t>TACOMA POLICE DEPARTMENT</w:t>
      </w:r>
    </w:p>
    <w:p w14:paraId="0925B165" w14:textId="77777777" w:rsidR="000808C4" w:rsidRPr="004D7379" w:rsidRDefault="000808C4">
      <w:pPr>
        <w:pStyle w:val="Title"/>
        <w:outlineLvl w:val="0"/>
        <w:rPr>
          <w:sz w:val="36"/>
          <w:szCs w:val="36"/>
        </w:rPr>
      </w:pPr>
      <w:r w:rsidRPr="004D7379">
        <w:rPr>
          <w:sz w:val="36"/>
          <w:szCs w:val="36"/>
        </w:rPr>
        <w:t>Intra-Departmental Memorandum</w:t>
      </w:r>
    </w:p>
    <w:p w14:paraId="061334B4" w14:textId="77777777" w:rsidR="000808C4" w:rsidRPr="004D7379" w:rsidRDefault="000808C4">
      <w:pPr>
        <w:pStyle w:val="Title"/>
      </w:pPr>
    </w:p>
    <w:p w14:paraId="29D99C08" w14:textId="77777777" w:rsidR="000808C4" w:rsidRPr="004D7379" w:rsidRDefault="007676DB">
      <w:pPr>
        <w:framePr w:hSpace="180" w:wrap="around" w:vAnchor="text" w:hAnchor="page" w:x="9361" w:y="-2190"/>
        <w:tabs>
          <w:tab w:val="left" w:pos="7920"/>
        </w:tabs>
      </w:pPr>
      <w:r>
        <w:pict w14:anchorId="1A8843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103.5pt" fillcolor="window">
            <v:imagedata r:id="rId10" o:title=""/>
          </v:shape>
        </w:pict>
      </w:r>
    </w:p>
    <w:p w14:paraId="1C43B30E" w14:textId="77777777" w:rsidR="000808C4" w:rsidRPr="004D7379" w:rsidRDefault="000808C4"/>
    <w:tbl>
      <w:tblPr>
        <w:tblW w:w="9963" w:type="dxa"/>
        <w:tblInd w:w="-45" w:type="dxa"/>
        <w:tblLayout w:type="fixed"/>
        <w:tblLook w:val="0000" w:firstRow="0" w:lastRow="0" w:firstColumn="0" w:lastColumn="0" w:noHBand="0" w:noVBand="0"/>
      </w:tblPr>
      <w:tblGrid>
        <w:gridCol w:w="2133"/>
        <w:gridCol w:w="4230"/>
        <w:gridCol w:w="3600"/>
      </w:tblGrid>
      <w:tr w:rsidR="000808C4" w:rsidRPr="004D7379" w14:paraId="1CE9875D" w14:textId="77777777" w:rsidTr="00B830D1">
        <w:trPr>
          <w:cantSplit/>
        </w:trPr>
        <w:tc>
          <w:tcPr>
            <w:tcW w:w="2133" w:type="dxa"/>
          </w:tcPr>
          <w:p w14:paraId="6C38D2E3" w14:textId="77777777" w:rsidR="000808C4" w:rsidRPr="004D7379" w:rsidRDefault="000808C4" w:rsidP="008C359D">
            <w:pPr>
              <w:spacing w:after="0"/>
              <w:rPr>
                <w:b/>
                <w:sz w:val="28"/>
              </w:rPr>
            </w:pPr>
            <w:r w:rsidRPr="004D7379">
              <w:rPr>
                <w:b/>
                <w:sz w:val="28"/>
              </w:rPr>
              <w:t>TO:</w:t>
            </w:r>
          </w:p>
        </w:tc>
        <w:tc>
          <w:tcPr>
            <w:tcW w:w="4230" w:type="dxa"/>
          </w:tcPr>
          <w:p w14:paraId="5AFF2E26" w14:textId="77777777" w:rsidR="00EB5408" w:rsidRDefault="008C359D" w:rsidP="008C359D">
            <w:pPr>
              <w:pStyle w:val="NormalWeb"/>
              <w:spacing w:before="60" w:beforeAutospacing="0" w:after="0" w:afterAutospacing="0"/>
              <w:rPr>
                <w:rFonts w:ascii="Times New Roman" w:eastAsia="Times New Roman" w:hAnsi="Times New Roman" w:cs="Times New Roman"/>
                <w:bCs/>
                <w:szCs w:val="20"/>
              </w:rPr>
            </w:pPr>
            <w:r>
              <w:rPr>
                <w:rFonts w:ascii="Times New Roman" w:eastAsia="Times New Roman" w:hAnsi="Times New Roman" w:cs="Times New Roman"/>
                <w:bCs/>
                <w:szCs w:val="20"/>
              </w:rPr>
              <w:t>Donald Ramsdell</w:t>
            </w:r>
          </w:p>
          <w:p w14:paraId="0A9A4000" w14:textId="77777777" w:rsidR="008C359D" w:rsidRPr="004D7379" w:rsidRDefault="008C359D" w:rsidP="008C359D">
            <w:pPr>
              <w:pStyle w:val="NormalWeb"/>
              <w:spacing w:before="0" w:beforeAutospacing="0" w:after="240" w:afterAutospacing="0"/>
              <w:rPr>
                <w:rFonts w:ascii="Times New Roman" w:eastAsia="Times New Roman" w:hAnsi="Times New Roman" w:cs="Times New Roman"/>
                <w:bCs/>
                <w:szCs w:val="20"/>
              </w:rPr>
            </w:pPr>
            <w:r>
              <w:rPr>
                <w:rFonts w:ascii="Times New Roman" w:eastAsia="Times New Roman" w:hAnsi="Times New Roman" w:cs="Times New Roman"/>
                <w:bCs/>
                <w:szCs w:val="20"/>
              </w:rPr>
              <w:t>Chief of Police</w:t>
            </w:r>
          </w:p>
        </w:tc>
        <w:tc>
          <w:tcPr>
            <w:tcW w:w="3600" w:type="dxa"/>
          </w:tcPr>
          <w:p w14:paraId="5A95EB75" w14:textId="77777777" w:rsidR="000808C4" w:rsidRPr="004D7379" w:rsidRDefault="009D5F1F" w:rsidP="008C359D">
            <w:pPr>
              <w:pStyle w:val="BalloonText"/>
              <w:tabs>
                <w:tab w:val="left" w:pos="1152"/>
              </w:tabs>
              <w:spacing w:before="60"/>
              <w:rPr>
                <w:rFonts w:ascii="Times New Roman" w:hAnsi="Times New Roman" w:cs="Times New Roman"/>
                <w:sz w:val="24"/>
                <w:szCs w:val="24"/>
              </w:rPr>
            </w:pPr>
            <w:bookmarkStart w:id="0" w:name="To"/>
            <w:bookmarkEnd w:id="0"/>
            <w:r w:rsidRPr="004D7379">
              <w:rPr>
                <w:rFonts w:ascii="Times New Roman" w:hAnsi="Times New Roman" w:cs="Times New Roman"/>
                <w:b/>
                <w:sz w:val="28"/>
              </w:rPr>
              <w:t>ASB #:</w:t>
            </w:r>
            <w:r w:rsidRPr="004D7379">
              <w:rPr>
                <w:rFonts w:ascii="Times New Roman" w:hAnsi="Times New Roman" w:cs="Times New Roman"/>
                <w:b/>
                <w:sz w:val="28"/>
              </w:rPr>
              <w:tab/>
            </w:r>
            <w:r w:rsidR="00504AF1" w:rsidRPr="005E7225">
              <w:rPr>
                <w:rFonts w:ascii="Times New Roman" w:hAnsi="Times New Roman" w:cs="Times New Roman"/>
                <w:sz w:val="24"/>
              </w:rPr>
              <w:t>19-</w:t>
            </w:r>
            <w:r w:rsidR="00213F92" w:rsidRPr="005E7225">
              <w:rPr>
                <w:rFonts w:ascii="Times New Roman" w:hAnsi="Times New Roman" w:cs="Times New Roman"/>
                <w:sz w:val="24"/>
              </w:rPr>
              <w:t>006</w:t>
            </w:r>
          </w:p>
          <w:p w14:paraId="4476CED4" w14:textId="77777777" w:rsidR="000808C4" w:rsidRPr="004D7379" w:rsidRDefault="000808C4" w:rsidP="008C359D">
            <w:pPr>
              <w:pStyle w:val="To"/>
              <w:spacing w:before="0" w:after="0"/>
            </w:pPr>
          </w:p>
        </w:tc>
      </w:tr>
      <w:tr w:rsidR="000808C4" w:rsidRPr="004D7379" w14:paraId="75D285A3" w14:textId="77777777" w:rsidTr="00B830D1">
        <w:trPr>
          <w:cantSplit/>
        </w:trPr>
        <w:tc>
          <w:tcPr>
            <w:tcW w:w="2133" w:type="dxa"/>
          </w:tcPr>
          <w:p w14:paraId="45FAC749" w14:textId="77777777" w:rsidR="000808C4" w:rsidRPr="004D7379" w:rsidRDefault="000808C4" w:rsidP="008C359D">
            <w:pPr>
              <w:spacing w:after="0"/>
              <w:rPr>
                <w:b/>
                <w:sz w:val="28"/>
              </w:rPr>
            </w:pPr>
            <w:r w:rsidRPr="004D7379">
              <w:rPr>
                <w:b/>
                <w:sz w:val="28"/>
              </w:rPr>
              <w:t>FROM:</w:t>
            </w:r>
          </w:p>
        </w:tc>
        <w:tc>
          <w:tcPr>
            <w:tcW w:w="4230" w:type="dxa"/>
          </w:tcPr>
          <w:p w14:paraId="40BC26D1" w14:textId="77777777" w:rsidR="000E44FD" w:rsidRDefault="008C359D" w:rsidP="005E7225">
            <w:pPr>
              <w:spacing w:after="0"/>
              <w:rPr>
                <w:bCs/>
              </w:rPr>
            </w:pPr>
            <w:r>
              <w:rPr>
                <w:bCs/>
              </w:rPr>
              <w:t>Lieutenant Dwayne Joseph</w:t>
            </w:r>
          </w:p>
          <w:p w14:paraId="0D29FDF7" w14:textId="77777777" w:rsidR="008C359D" w:rsidRPr="004D7379" w:rsidRDefault="008C359D" w:rsidP="008C359D">
            <w:pPr>
              <w:spacing w:before="0" w:after="240" w:line="276" w:lineRule="auto"/>
              <w:rPr>
                <w:bCs/>
              </w:rPr>
            </w:pPr>
            <w:r>
              <w:rPr>
                <w:bCs/>
              </w:rPr>
              <w:t>Support Services Division</w:t>
            </w:r>
          </w:p>
        </w:tc>
        <w:tc>
          <w:tcPr>
            <w:tcW w:w="3600" w:type="dxa"/>
          </w:tcPr>
          <w:p w14:paraId="1F009EA3" w14:textId="77777777" w:rsidR="000808C4" w:rsidRPr="004D7379" w:rsidRDefault="000808C4" w:rsidP="008C359D">
            <w:pPr>
              <w:pStyle w:val="BalloonText"/>
              <w:tabs>
                <w:tab w:val="left" w:pos="1152"/>
              </w:tabs>
              <w:spacing w:before="60"/>
              <w:rPr>
                <w:rFonts w:ascii="Times New Roman" w:hAnsi="Times New Roman" w:cs="Times New Roman"/>
                <w:sz w:val="24"/>
                <w:szCs w:val="24"/>
              </w:rPr>
            </w:pPr>
            <w:bookmarkStart w:id="1" w:name="From"/>
            <w:bookmarkEnd w:id="1"/>
            <w:r w:rsidRPr="004D7379">
              <w:rPr>
                <w:rFonts w:ascii="Times New Roman" w:hAnsi="Times New Roman" w:cs="Times New Roman"/>
                <w:b/>
                <w:sz w:val="28"/>
                <w:szCs w:val="28"/>
              </w:rPr>
              <w:t>DATE:</w:t>
            </w:r>
            <w:r w:rsidR="009D5F1F" w:rsidRPr="004D7379">
              <w:rPr>
                <w:rFonts w:ascii="Times New Roman" w:hAnsi="Times New Roman" w:cs="Times New Roman"/>
                <w:sz w:val="24"/>
                <w:szCs w:val="24"/>
              </w:rPr>
              <w:t xml:space="preserve"> </w:t>
            </w:r>
            <w:r w:rsidR="009D5F1F" w:rsidRPr="004D7379">
              <w:rPr>
                <w:rFonts w:ascii="Times New Roman" w:hAnsi="Times New Roman" w:cs="Times New Roman"/>
                <w:sz w:val="24"/>
                <w:szCs w:val="24"/>
              </w:rPr>
              <w:tab/>
            </w:r>
            <w:r w:rsidR="008C359D">
              <w:rPr>
                <w:rFonts w:ascii="Times New Roman" w:hAnsi="Times New Roman" w:cs="Times New Roman"/>
                <w:sz w:val="24"/>
                <w:szCs w:val="24"/>
              </w:rPr>
              <w:t>February 11, 2019</w:t>
            </w:r>
          </w:p>
        </w:tc>
      </w:tr>
      <w:tr w:rsidR="000E44FD" w:rsidRPr="004D7379" w14:paraId="05A47D5F" w14:textId="77777777" w:rsidTr="003502CA">
        <w:trPr>
          <w:cantSplit/>
        </w:trPr>
        <w:tc>
          <w:tcPr>
            <w:tcW w:w="2133" w:type="dxa"/>
          </w:tcPr>
          <w:p w14:paraId="285DC7C9" w14:textId="77777777" w:rsidR="000E44FD" w:rsidRPr="004D7379" w:rsidRDefault="000E44FD" w:rsidP="008C359D">
            <w:pPr>
              <w:spacing w:after="0"/>
              <w:rPr>
                <w:b/>
                <w:sz w:val="28"/>
              </w:rPr>
            </w:pPr>
            <w:r w:rsidRPr="004D7379">
              <w:rPr>
                <w:b/>
                <w:sz w:val="28"/>
              </w:rPr>
              <w:t>THROUGH:</w:t>
            </w:r>
          </w:p>
        </w:tc>
        <w:tc>
          <w:tcPr>
            <w:tcW w:w="7830" w:type="dxa"/>
            <w:gridSpan w:val="2"/>
          </w:tcPr>
          <w:p w14:paraId="30C63061" w14:textId="77777777" w:rsidR="00EB5408" w:rsidRDefault="008C359D" w:rsidP="005E7225">
            <w:pPr>
              <w:pStyle w:val="Subject"/>
              <w:spacing w:after="0"/>
              <w:rPr>
                <w:bCs/>
              </w:rPr>
            </w:pPr>
            <w:r>
              <w:rPr>
                <w:bCs/>
              </w:rPr>
              <w:t>Captain Fred Scruggs</w:t>
            </w:r>
          </w:p>
          <w:p w14:paraId="3E3AC238" w14:textId="77777777" w:rsidR="008C359D" w:rsidRDefault="008C359D" w:rsidP="008C359D">
            <w:pPr>
              <w:pStyle w:val="Subject"/>
              <w:spacing w:before="0" w:line="276" w:lineRule="auto"/>
              <w:rPr>
                <w:bCs/>
              </w:rPr>
            </w:pPr>
            <w:r>
              <w:rPr>
                <w:bCs/>
              </w:rPr>
              <w:t>Division Commander</w:t>
            </w:r>
          </w:p>
          <w:p w14:paraId="6F39B509" w14:textId="77777777" w:rsidR="008C359D" w:rsidRDefault="008C359D" w:rsidP="008C359D">
            <w:pPr>
              <w:pStyle w:val="Subject"/>
              <w:spacing w:after="0"/>
              <w:rPr>
                <w:bCs/>
              </w:rPr>
            </w:pPr>
            <w:r>
              <w:rPr>
                <w:bCs/>
              </w:rPr>
              <w:t>Assistant Chief Ed Wade</w:t>
            </w:r>
          </w:p>
          <w:p w14:paraId="13E2FA2E" w14:textId="77777777" w:rsidR="008C359D" w:rsidRPr="004D7379" w:rsidRDefault="008C359D" w:rsidP="008C359D">
            <w:pPr>
              <w:pStyle w:val="Subject"/>
              <w:spacing w:before="0" w:after="240" w:line="276" w:lineRule="auto"/>
              <w:rPr>
                <w:bCs/>
              </w:rPr>
            </w:pPr>
            <w:r>
              <w:rPr>
                <w:bCs/>
              </w:rPr>
              <w:t>Administrative Services Bureau Commander</w:t>
            </w:r>
          </w:p>
        </w:tc>
      </w:tr>
      <w:tr w:rsidR="000808C4" w:rsidRPr="004D7379" w14:paraId="77390271" w14:textId="77777777" w:rsidTr="003502CA">
        <w:trPr>
          <w:cantSplit/>
        </w:trPr>
        <w:tc>
          <w:tcPr>
            <w:tcW w:w="2133" w:type="dxa"/>
          </w:tcPr>
          <w:p w14:paraId="126A6401" w14:textId="77777777" w:rsidR="000808C4" w:rsidRPr="004D7379" w:rsidRDefault="000808C4" w:rsidP="008C359D">
            <w:pPr>
              <w:spacing w:after="0"/>
              <w:rPr>
                <w:b/>
                <w:sz w:val="28"/>
              </w:rPr>
            </w:pPr>
            <w:r w:rsidRPr="004D7379">
              <w:rPr>
                <w:b/>
                <w:sz w:val="28"/>
              </w:rPr>
              <w:t>SUBJECT:</w:t>
            </w:r>
          </w:p>
        </w:tc>
        <w:tc>
          <w:tcPr>
            <w:tcW w:w="7830" w:type="dxa"/>
            <w:gridSpan w:val="2"/>
          </w:tcPr>
          <w:p w14:paraId="168B4093" w14:textId="77777777" w:rsidR="008C359D" w:rsidRPr="004D7379" w:rsidRDefault="008C359D" w:rsidP="008C359D">
            <w:pPr>
              <w:pStyle w:val="Subject"/>
              <w:spacing w:after="240" w:line="276" w:lineRule="auto"/>
              <w:rPr>
                <w:b/>
                <w:bCs/>
              </w:rPr>
            </w:pPr>
            <w:r>
              <w:rPr>
                <w:b/>
                <w:bCs/>
              </w:rPr>
              <w:t>2018 PURSUIT ANALYSIS REPORT</w:t>
            </w:r>
          </w:p>
        </w:tc>
      </w:tr>
    </w:tbl>
    <w:p w14:paraId="611FAE59" w14:textId="77777777" w:rsidR="00EB5408" w:rsidRPr="004D7379" w:rsidRDefault="00EB5408">
      <w:pPr>
        <w:spacing w:before="0" w:after="0"/>
      </w:pPr>
    </w:p>
    <w:p w14:paraId="17706B92" w14:textId="77777777" w:rsidR="00213F92" w:rsidRDefault="00213F92" w:rsidP="00F17030">
      <w:pPr>
        <w:jc w:val="both"/>
        <w:rPr>
          <w:rFonts w:eastAsia="Arial Unicode MS"/>
        </w:rPr>
      </w:pPr>
      <w:r w:rsidRPr="00213F92">
        <w:rPr>
          <w:rFonts w:eastAsia="Arial Unicode MS"/>
        </w:rPr>
        <w:t>The Tacoma Police Department uses the IAPro/BlueTeam database to track all Department incidents, to include Vehicle Pursuits.  Each vehicle pursuit is reviewed and evaluated by a field Supervisor, a Shift Commander, and the Patrol Captain.</w:t>
      </w:r>
    </w:p>
    <w:p w14:paraId="4EDB6E58" w14:textId="4085C72D" w:rsidR="00213F92" w:rsidRPr="00213F92" w:rsidRDefault="00213F92" w:rsidP="00F17030">
      <w:pPr>
        <w:jc w:val="both"/>
      </w:pPr>
      <w:r w:rsidRPr="00213F92">
        <w:t xml:space="preserve">According to the 2018 End of the Year Preliminary Law Enforcement Officer Fatalities Report, there were 144 total fatalities in the United States last year. </w:t>
      </w:r>
      <w:r>
        <w:t xml:space="preserve"> </w:t>
      </w:r>
      <w:r w:rsidRPr="00213F92">
        <w:t xml:space="preserve">Traffic-related fatalities increased </w:t>
      </w:r>
      <w:r>
        <w:t>9%</w:t>
      </w:r>
      <w:r w:rsidRPr="00213F92">
        <w:t xml:space="preserve"> from 2017, with 50 officer fatalities. </w:t>
      </w:r>
      <w:r>
        <w:t xml:space="preserve"> </w:t>
      </w:r>
      <w:r w:rsidRPr="00213F92">
        <w:t>Of the 50 deaths, 32 officers were killed in crashes involving another vehicle</w:t>
      </w:r>
      <w:r w:rsidR="00836776">
        <w:t xml:space="preserve">; 14 </w:t>
      </w:r>
      <w:r w:rsidRPr="00213F92">
        <w:t xml:space="preserve">officers were struck while outside of their vehicle </w:t>
      </w:r>
      <w:r w:rsidR="009905D9">
        <w:t xml:space="preserve">– </w:t>
      </w:r>
      <w:r w:rsidRPr="00213F92">
        <w:t>a</w:t>
      </w:r>
      <w:r w:rsidR="009905D9">
        <w:t xml:space="preserve"> </w:t>
      </w:r>
      <w:r w:rsidRPr="00213F92">
        <w:t>56</w:t>
      </w:r>
      <w:r>
        <w:t>%</w:t>
      </w:r>
      <w:r w:rsidRPr="00213F92">
        <w:t xml:space="preserve"> increase over the </w:t>
      </w:r>
      <w:r>
        <w:t xml:space="preserve">9 </w:t>
      </w:r>
      <w:r w:rsidRPr="00213F92">
        <w:t>officers struck and killed in 2017</w:t>
      </w:r>
      <w:r w:rsidR="00836776">
        <w:t>; and 4</w:t>
      </w:r>
      <w:r w:rsidRPr="00213F92">
        <w:t xml:space="preserve"> officers were killed in motorcycle crashes.</w:t>
      </w:r>
    </w:p>
    <w:p w14:paraId="5325098C" w14:textId="5013E30E" w:rsidR="00213F92" w:rsidRPr="00213F92" w:rsidRDefault="00213F92" w:rsidP="00F17030">
      <w:pPr>
        <w:jc w:val="both"/>
      </w:pPr>
      <w:r w:rsidRPr="00213F92">
        <w:t>Of the 32 vehicle crashes, 16 were single-vehicle crashes</w:t>
      </w:r>
      <w:r>
        <w:t xml:space="preserve"> – </w:t>
      </w:r>
      <w:r w:rsidRPr="00213F92">
        <w:t>a</w:t>
      </w:r>
      <w:r>
        <w:t xml:space="preserve"> </w:t>
      </w:r>
      <w:r w:rsidRPr="00213F92">
        <w:t>14</w:t>
      </w:r>
      <w:r>
        <w:t xml:space="preserve">% </w:t>
      </w:r>
      <w:r w:rsidRPr="00213F92">
        <w:t xml:space="preserve">increase over the 14 single-vehicle crashes in 2017. </w:t>
      </w:r>
      <w:r>
        <w:t xml:space="preserve"> </w:t>
      </w:r>
      <w:r w:rsidRPr="00213F92">
        <w:t xml:space="preserve">Of the 16 single-vehicle crashes, </w:t>
      </w:r>
      <w:r>
        <w:t>7</w:t>
      </w:r>
      <w:r w:rsidRPr="00213F92">
        <w:t xml:space="preserve"> of the officers were responding to a call for service or as backup to another officer at the time of the crash; </w:t>
      </w:r>
      <w:r>
        <w:t>4</w:t>
      </w:r>
      <w:r w:rsidRPr="00213F92">
        <w:t xml:space="preserve"> officers were on patrol; </w:t>
      </w:r>
      <w:r>
        <w:t>3</w:t>
      </w:r>
      <w:r w:rsidRPr="00213F92">
        <w:t xml:space="preserve"> officers were involved in a vehicle pursuit; </w:t>
      </w:r>
      <w:r>
        <w:t>1</w:t>
      </w:r>
      <w:r w:rsidRPr="00213F92">
        <w:t xml:space="preserve"> officer was attempting to make a traffic stop</w:t>
      </w:r>
      <w:r>
        <w:t>; and 1</w:t>
      </w:r>
      <w:r w:rsidRPr="00213F92">
        <w:t xml:space="preserve"> officer was driving to training at the time of his single-vehicle crash. </w:t>
      </w:r>
    </w:p>
    <w:p w14:paraId="4EEC290F" w14:textId="77777777" w:rsidR="00213F92" w:rsidRPr="00213F92" w:rsidRDefault="00213F92" w:rsidP="00F17030">
      <w:pPr>
        <w:jc w:val="both"/>
      </w:pPr>
      <w:r w:rsidRPr="00213F92">
        <w:t xml:space="preserve">Of the 14 officers struck and killed while outside their vehicles, </w:t>
      </w:r>
      <w:r>
        <w:t>3 of</w:t>
      </w:r>
      <w:r w:rsidR="009905D9">
        <w:t>ficers were on a traffic stop;</w:t>
      </w:r>
      <w:r w:rsidRPr="00213F92">
        <w:t xml:space="preserve"> </w:t>
      </w:r>
      <w:r>
        <w:t>2</w:t>
      </w:r>
      <w:r w:rsidRPr="00213F92">
        <w:t xml:space="preserve"> officers were intentionally struck while responding to burglaries</w:t>
      </w:r>
      <w:r w:rsidR="009905D9">
        <w:t>;</w:t>
      </w:r>
      <w:r w:rsidRPr="00213F92">
        <w:t xml:space="preserve"> and </w:t>
      </w:r>
      <w:r>
        <w:t>1</w:t>
      </w:r>
      <w:r w:rsidRPr="00213F92">
        <w:t xml:space="preserve"> officer was struck and killed in each of the following circumstances: supervising an inmate road crew, serving a warrant, providing crowd control, assisting a disabled motorist, removing debris from the roadway, responding to a vehicle crash, investigating a prior vehicle crash, assisting a motorist after the motorist was involved in a minor vehicle crash, and while deploying spike sticks. Of the </w:t>
      </w:r>
      <w:r w:rsidR="00075BD5">
        <w:t>4</w:t>
      </w:r>
      <w:r w:rsidRPr="00213F92">
        <w:t xml:space="preserve"> motorcycle crashes, </w:t>
      </w:r>
      <w:r w:rsidR="00075BD5">
        <w:t>2</w:t>
      </w:r>
      <w:r w:rsidRPr="00213F92">
        <w:t xml:space="preserve"> officers were on a funeral escort, </w:t>
      </w:r>
      <w:r w:rsidR="00075BD5">
        <w:t>1</w:t>
      </w:r>
      <w:r w:rsidRPr="00213F92">
        <w:t xml:space="preserve"> officer was involved in the pursuit of a suspect, and </w:t>
      </w:r>
      <w:r w:rsidR="00075BD5">
        <w:t>1</w:t>
      </w:r>
      <w:r w:rsidRPr="00213F92">
        <w:t xml:space="preserve"> officer was on patrol. © NLEOMF END OF WATCH.</w:t>
      </w:r>
    </w:p>
    <w:p w14:paraId="54EFFF30" w14:textId="77777777" w:rsidR="00213F92" w:rsidRPr="00213F92" w:rsidRDefault="00213F92" w:rsidP="00F17030">
      <w:pPr>
        <w:jc w:val="both"/>
      </w:pPr>
      <w:r w:rsidRPr="00213F92">
        <w:t xml:space="preserve">The Tacoma Police Department recognizes that under </w:t>
      </w:r>
      <w:hyperlink r:id="rId11" w:history="1">
        <w:r w:rsidRPr="009905D9">
          <w:rPr>
            <w:rStyle w:val="Hyperlink"/>
          </w:rPr>
          <w:t>RCW 46.61.035</w:t>
        </w:r>
      </w:hyperlink>
      <w:r w:rsidRPr="00213F92">
        <w:t xml:space="preserve"> (see RCW for legislative language in its entirety), Officers have the legal right and duty to apprehend offenders who flee from the police and present a threat to the public.  However, Department members will only engage in pursuits when the necessity to apprehend the violator outweighs the danger posed to the public.  Every </w:t>
      </w:r>
      <w:r w:rsidRPr="00213F92">
        <w:lastRenderedPageBreak/>
        <w:t xml:space="preserve">Department member engaging in a pursuit must be able to articulate what conditions were present that justified the pursuit. </w:t>
      </w:r>
    </w:p>
    <w:p w14:paraId="161DAD01" w14:textId="77777777" w:rsidR="00213F92" w:rsidRPr="00213F92" w:rsidRDefault="00213F92" w:rsidP="00F17030">
      <w:pPr>
        <w:jc w:val="both"/>
      </w:pPr>
      <w:r w:rsidRPr="00213F92">
        <w:t>Tacoma Police policy defines a vehicle pursuit as an active attempt by an Officer to apprehend a suspect who willfully fails to immediately bring his or her vehicle to a stop, and drives in a reckless and evasive manner while attempting to elude a pursuing police vehicle.</w:t>
      </w:r>
    </w:p>
    <w:p w14:paraId="0B82CDAB" w14:textId="77777777" w:rsidR="008C4E3E" w:rsidRDefault="00213F92" w:rsidP="00F17030">
      <w:pPr>
        <w:jc w:val="both"/>
      </w:pPr>
      <w:r w:rsidRPr="00213F92">
        <w:t>The following analysis of the 2018 Vehicle Pursuits is based on information retrieved from the IAPro database.</w:t>
      </w:r>
    </w:p>
    <w:tbl>
      <w:tblPr>
        <w:tblW w:w="4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5"/>
        <w:gridCol w:w="1260"/>
      </w:tblGrid>
      <w:tr w:rsidR="009905D9" w:rsidRPr="009905D9" w14:paraId="435FDA64" w14:textId="77777777" w:rsidTr="003C7A12">
        <w:trPr>
          <w:trHeight w:val="288"/>
          <w:jc w:val="center"/>
        </w:trPr>
        <w:tc>
          <w:tcPr>
            <w:tcW w:w="3345" w:type="dxa"/>
            <w:shd w:val="clear" w:color="auto" w:fill="D9D9D9"/>
            <w:vAlign w:val="center"/>
          </w:tcPr>
          <w:p w14:paraId="3418C57B" w14:textId="77777777" w:rsidR="009905D9" w:rsidRPr="009905D9" w:rsidRDefault="009905D9" w:rsidP="008C4E3E">
            <w:pPr>
              <w:spacing w:before="0" w:after="0"/>
              <w:rPr>
                <w:b/>
              </w:rPr>
            </w:pPr>
            <w:r w:rsidRPr="009905D9">
              <w:rPr>
                <w:b/>
              </w:rPr>
              <w:t>Pursuits</w:t>
            </w:r>
          </w:p>
        </w:tc>
        <w:tc>
          <w:tcPr>
            <w:tcW w:w="1260" w:type="dxa"/>
            <w:shd w:val="clear" w:color="auto" w:fill="D9D9D9"/>
            <w:vAlign w:val="center"/>
          </w:tcPr>
          <w:p w14:paraId="355CC78A" w14:textId="77777777" w:rsidR="009905D9" w:rsidRPr="009905D9" w:rsidRDefault="009905D9" w:rsidP="008C4E3E">
            <w:pPr>
              <w:spacing w:before="0" w:after="0"/>
              <w:rPr>
                <w:b/>
              </w:rPr>
            </w:pPr>
            <w:r w:rsidRPr="009905D9">
              <w:rPr>
                <w:b/>
              </w:rPr>
              <w:t>2018</w:t>
            </w:r>
          </w:p>
        </w:tc>
      </w:tr>
      <w:tr w:rsidR="009905D9" w:rsidRPr="009905D9" w14:paraId="599CE689" w14:textId="77777777" w:rsidTr="003C7A12">
        <w:trPr>
          <w:trHeight w:val="288"/>
          <w:jc w:val="center"/>
        </w:trPr>
        <w:tc>
          <w:tcPr>
            <w:tcW w:w="3345" w:type="dxa"/>
            <w:vAlign w:val="center"/>
          </w:tcPr>
          <w:p w14:paraId="4F49FF53" w14:textId="77777777" w:rsidR="009905D9" w:rsidRPr="009905D9" w:rsidRDefault="009905D9" w:rsidP="008C4E3E">
            <w:pPr>
              <w:spacing w:before="0" w:after="0"/>
            </w:pPr>
            <w:r w:rsidRPr="009905D9">
              <w:t>Total Pursuits</w:t>
            </w:r>
          </w:p>
        </w:tc>
        <w:tc>
          <w:tcPr>
            <w:tcW w:w="1260" w:type="dxa"/>
            <w:vAlign w:val="center"/>
          </w:tcPr>
          <w:p w14:paraId="64D4FA8D" w14:textId="77777777" w:rsidR="009905D9" w:rsidRPr="009905D9" w:rsidRDefault="009905D9" w:rsidP="008C4E3E">
            <w:pPr>
              <w:spacing w:before="0" w:after="0"/>
            </w:pPr>
            <w:r w:rsidRPr="009905D9">
              <w:t>12</w:t>
            </w:r>
          </w:p>
        </w:tc>
      </w:tr>
      <w:tr w:rsidR="009905D9" w:rsidRPr="009905D9" w14:paraId="3BFC41EE" w14:textId="77777777" w:rsidTr="003C7A12">
        <w:trPr>
          <w:trHeight w:val="288"/>
          <w:jc w:val="center"/>
        </w:trPr>
        <w:tc>
          <w:tcPr>
            <w:tcW w:w="3345" w:type="dxa"/>
            <w:vAlign w:val="center"/>
          </w:tcPr>
          <w:p w14:paraId="73450483" w14:textId="77777777" w:rsidR="009905D9" w:rsidRPr="009905D9" w:rsidRDefault="009905D9" w:rsidP="008C4E3E">
            <w:pPr>
              <w:spacing w:before="0" w:after="0"/>
            </w:pPr>
            <w:r w:rsidRPr="009905D9">
              <w:t>Number of officers involved</w:t>
            </w:r>
          </w:p>
        </w:tc>
        <w:tc>
          <w:tcPr>
            <w:tcW w:w="1260" w:type="dxa"/>
            <w:vAlign w:val="center"/>
          </w:tcPr>
          <w:p w14:paraId="39CB0143" w14:textId="77777777" w:rsidR="009905D9" w:rsidRPr="009905D9" w:rsidRDefault="009905D9" w:rsidP="008C4E3E">
            <w:pPr>
              <w:spacing w:before="0" w:after="0"/>
            </w:pPr>
            <w:r w:rsidRPr="009905D9">
              <w:t>41</w:t>
            </w:r>
          </w:p>
        </w:tc>
      </w:tr>
      <w:tr w:rsidR="009905D9" w:rsidRPr="009905D9" w14:paraId="16EB9387" w14:textId="77777777" w:rsidTr="003C7A12">
        <w:trPr>
          <w:trHeight w:val="288"/>
          <w:jc w:val="center"/>
        </w:trPr>
        <w:tc>
          <w:tcPr>
            <w:tcW w:w="3345" w:type="dxa"/>
            <w:vAlign w:val="center"/>
          </w:tcPr>
          <w:p w14:paraId="577A1217" w14:textId="77777777" w:rsidR="009905D9" w:rsidRPr="0031199B" w:rsidRDefault="009905D9" w:rsidP="008C4E3E">
            <w:pPr>
              <w:spacing w:before="0" w:after="0"/>
              <w:rPr>
                <w:color w:val="FF0000"/>
              </w:rPr>
            </w:pPr>
            <w:r w:rsidRPr="0031199B">
              <w:t>Most frequent hours 2001-0800</w:t>
            </w:r>
            <w:r w:rsidR="00335D81" w:rsidRPr="0031199B">
              <w:rPr>
                <w:color w:val="FF0000"/>
              </w:rPr>
              <w:t xml:space="preserve"> </w:t>
            </w:r>
          </w:p>
        </w:tc>
        <w:tc>
          <w:tcPr>
            <w:tcW w:w="1260" w:type="dxa"/>
            <w:vAlign w:val="center"/>
          </w:tcPr>
          <w:p w14:paraId="0114D2E7" w14:textId="77777777" w:rsidR="009905D9" w:rsidRPr="009905D9" w:rsidRDefault="009905D9" w:rsidP="008C4E3E">
            <w:pPr>
              <w:spacing w:before="0" w:after="0"/>
            </w:pPr>
            <w:r w:rsidRPr="0031199B">
              <w:t>9</w:t>
            </w:r>
          </w:p>
        </w:tc>
      </w:tr>
      <w:tr w:rsidR="009905D9" w:rsidRPr="009905D9" w14:paraId="51D98365" w14:textId="77777777" w:rsidTr="003C7A12">
        <w:trPr>
          <w:trHeight w:val="288"/>
          <w:jc w:val="center"/>
        </w:trPr>
        <w:tc>
          <w:tcPr>
            <w:tcW w:w="3345" w:type="dxa"/>
            <w:vAlign w:val="center"/>
          </w:tcPr>
          <w:p w14:paraId="668770F1" w14:textId="77777777" w:rsidR="009905D9" w:rsidRPr="009905D9" w:rsidRDefault="009905D9" w:rsidP="008C4E3E">
            <w:pPr>
              <w:spacing w:before="0" w:after="0"/>
            </w:pPr>
            <w:r w:rsidRPr="009905D9">
              <w:t>Policy Compliant</w:t>
            </w:r>
          </w:p>
        </w:tc>
        <w:tc>
          <w:tcPr>
            <w:tcW w:w="1260" w:type="dxa"/>
            <w:vAlign w:val="center"/>
          </w:tcPr>
          <w:p w14:paraId="7504BD27" w14:textId="77777777" w:rsidR="009905D9" w:rsidRPr="009905D9" w:rsidRDefault="009905D9" w:rsidP="008C4E3E">
            <w:pPr>
              <w:spacing w:before="0" w:after="0"/>
            </w:pPr>
            <w:r w:rsidRPr="009905D9">
              <w:t>10</w:t>
            </w:r>
          </w:p>
        </w:tc>
      </w:tr>
      <w:tr w:rsidR="009905D9" w:rsidRPr="009905D9" w14:paraId="276543B7" w14:textId="77777777" w:rsidTr="003C7A12">
        <w:trPr>
          <w:trHeight w:val="288"/>
          <w:jc w:val="center"/>
        </w:trPr>
        <w:tc>
          <w:tcPr>
            <w:tcW w:w="3345" w:type="dxa"/>
            <w:vAlign w:val="center"/>
          </w:tcPr>
          <w:p w14:paraId="209287D8" w14:textId="77777777" w:rsidR="009905D9" w:rsidRPr="009905D9" w:rsidRDefault="009905D9" w:rsidP="008C4E3E">
            <w:pPr>
              <w:spacing w:before="0" w:after="0"/>
            </w:pPr>
            <w:r w:rsidRPr="009905D9">
              <w:t>Policy Non-Compliant</w:t>
            </w:r>
          </w:p>
        </w:tc>
        <w:tc>
          <w:tcPr>
            <w:tcW w:w="1260" w:type="dxa"/>
            <w:vAlign w:val="center"/>
          </w:tcPr>
          <w:p w14:paraId="30722E41" w14:textId="77777777" w:rsidR="009905D9" w:rsidRPr="009905D9" w:rsidRDefault="009905D9" w:rsidP="008C4E3E">
            <w:pPr>
              <w:spacing w:before="0" w:after="0"/>
            </w:pPr>
            <w:r w:rsidRPr="009905D9">
              <w:t>2</w:t>
            </w:r>
          </w:p>
        </w:tc>
      </w:tr>
      <w:tr w:rsidR="009905D9" w:rsidRPr="009905D9" w14:paraId="5985A494" w14:textId="77777777" w:rsidTr="003C7A12">
        <w:trPr>
          <w:trHeight w:val="288"/>
          <w:jc w:val="center"/>
        </w:trPr>
        <w:tc>
          <w:tcPr>
            <w:tcW w:w="3345" w:type="dxa"/>
            <w:vAlign w:val="center"/>
          </w:tcPr>
          <w:p w14:paraId="72E37D9F" w14:textId="77777777" w:rsidR="009905D9" w:rsidRPr="009905D9" w:rsidRDefault="009905D9" w:rsidP="008C4E3E">
            <w:pPr>
              <w:spacing w:before="0" w:after="0"/>
            </w:pPr>
            <w:r w:rsidRPr="009905D9">
              <w:t>Pending</w:t>
            </w:r>
          </w:p>
        </w:tc>
        <w:tc>
          <w:tcPr>
            <w:tcW w:w="1260" w:type="dxa"/>
            <w:vAlign w:val="center"/>
          </w:tcPr>
          <w:p w14:paraId="1C573B2B" w14:textId="77777777" w:rsidR="009905D9" w:rsidRPr="009905D9" w:rsidRDefault="009905D9" w:rsidP="008C4E3E">
            <w:pPr>
              <w:spacing w:before="0" w:after="0"/>
            </w:pPr>
            <w:r w:rsidRPr="009905D9">
              <w:t>0</w:t>
            </w:r>
          </w:p>
        </w:tc>
      </w:tr>
      <w:tr w:rsidR="009905D9" w:rsidRPr="009905D9" w14:paraId="03AC94C7" w14:textId="77777777" w:rsidTr="003C7A12">
        <w:trPr>
          <w:trHeight w:val="288"/>
          <w:jc w:val="center"/>
        </w:trPr>
        <w:tc>
          <w:tcPr>
            <w:tcW w:w="3345" w:type="dxa"/>
            <w:vAlign w:val="center"/>
          </w:tcPr>
          <w:p w14:paraId="7707B84D" w14:textId="77777777" w:rsidR="009905D9" w:rsidRPr="009905D9" w:rsidRDefault="009905D9" w:rsidP="008C4E3E">
            <w:pPr>
              <w:spacing w:before="0" w:after="0"/>
            </w:pPr>
            <w:r w:rsidRPr="009905D9">
              <w:t>Accidents during pursuit</w:t>
            </w:r>
          </w:p>
        </w:tc>
        <w:tc>
          <w:tcPr>
            <w:tcW w:w="1260" w:type="dxa"/>
            <w:vAlign w:val="center"/>
          </w:tcPr>
          <w:p w14:paraId="7E364972" w14:textId="77777777" w:rsidR="009905D9" w:rsidRPr="009905D9" w:rsidRDefault="009905D9" w:rsidP="008C4E3E">
            <w:pPr>
              <w:spacing w:before="0" w:after="0"/>
            </w:pPr>
            <w:r w:rsidRPr="009905D9">
              <w:t>9</w:t>
            </w:r>
          </w:p>
        </w:tc>
      </w:tr>
      <w:tr w:rsidR="009905D9" w:rsidRPr="009905D9" w14:paraId="0697AAC4" w14:textId="77777777" w:rsidTr="003C7A12">
        <w:trPr>
          <w:trHeight w:val="288"/>
          <w:jc w:val="center"/>
        </w:trPr>
        <w:tc>
          <w:tcPr>
            <w:tcW w:w="3345" w:type="dxa"/>
            <w:vAlign w:val="center"/>
          </w:tcPr>
          <w:p w14:paraId="0ED43B3C" w14:textId="77777777" w:rsidR="009905D9" w:rsidRPr="009905D9" w:rsidRDefault="009905D9" w:rsidP="008C4E3E">
            <w:pPr>
              <w:spacing w:before="0" w:after="0"/>
            </w:pPr>
            <w:r w:rsidRPr="009905D9">
              <w:t>Injuries: Officer</w:t>
            </w:r>
          </w:p>
        </w:tc>
        <w:tc>
          <w:tcPr>
            <w:tcW w:w="1260" w:type="dxa"/>
            <w:vAlign w:val="center"/>
          </w:tcPr>
          <w:p w14:paraId="7EF13553" w14:textId="77777777" w:rsidR="009905D9" w:rsidRPr="009905D9" w:rsidRDefault="009905D9" w:rsidP="008C4E3E">
            <w:pPr>
              <w:spacing w:before="0" w:after="0"/>
            </w:pPr>
            <w:r w:rsidRPr="009905D9">
              <w:t>0</w:t>
            </w:r>
          </w:p>
        </w:tc>
      </w:tr>
      <w:tr w:rsidR="009905D9" w:rsidRPr="009905D9" w14:paraId="37BEA26D" w14:textId="77777777" w:rsidTr="003C7A12">
        <w:trPr>
          <w:trHeight w:val="288"/>
          <w:jc w:val="center"/>
        </w:trPr>
        <w:tc>
          <w:tcPr>
            <w:tcW w:w="3345" w:type="dxa"/>
            <w:vAlign w:val="center"/>
          </w:tcPr>
          <w:p w14:paraId="037ECD31" w14:textId="77777777" w:rsidR="009905D9" w:rsidRPr="0031199B" w:rsidRDefault="009905D9" w:rsidP="008C4E3E">
            <w:pPr>
              <w:spacing w:before="0" w:after="0"/>
            </w:pPr>
            <w:r w:rsidRPr="0031199B">
              <w:t>Injuries: Suspects</w:t>
            </w:r>
          </w:p>
        </w:tc>
        <w:tc>
          <w:tcPr>
            <w:tcW w:w="1260" w:type="dxa"/>
            <w:vAlign w:val="center"/>
          </w:tcPr>
          <w:p w14:paraId="329275D1" w14:textId="77777777" w:rsidR="009905D9" w:rsidRPr="0031199B" w:rsidRDefault="009905D9" w:rsidP="008C4E3E">
            <w:pPr>
              <w:spacing w:before="0" w:after="0"/>
              <w:rPr>
                <w:color w:val="FF0000"/>
              </w:rPr>
            </w:pPr>
            <w:r w:rsidRPr="0031199B">
              <w:t>3</w:t>
            </w:r>
          </w:p>
        </w:tc>
      </w:tr>
      <w:tr w:rsidR="002C0C1A" w:rsidRPr="002C0C1A" w14:paraId="32487F73" w14:textId="77777777" w:rsidTr="003C7A12">
        <w:trPr>
          <w:trHeight w:val="288"/>
          <w:jc w:val="center"/>
        </w:trPr>
        <w:tc>
          <w:tcPr>
            <w:tcW w:w="3345" w:type="dxa"/>
            <w:vAlign w:val="center"/>
          </w:tcPr>
          <w:p w14:paraId="2769FEB9" w14:textId="77777777" w:rsidR="009905D9" w:rsidRPr="002C0C1A" w:rsidRDefault="009905D9" w:rsidP="008C4E3E">
            <w:pPr>
              <w:spacing w:before="0" w:after="0"/>
            </w:pPr>
            <w:r w:rsidRPr="002C0C1A">
              <w:t>Injuries: Third Party</w:t>
            </w:r>
          </w:p>
        </w:tc>
        <w:tc>
          <w:tcPr>
            <w:tcW w:w="1260" w:type="dxa"/>
            <w:vAlign w:val="center"/>
          </w:tcPr>
          <w:p w14:paraId="285DD1DB" w14:textId="4B0F4530" w:rsidR="009905D9" w:rsidRPr="002C0C1A" w:rsidRDefault="002C0C1A" w:rsidP="008C4E3E">
            <w:pPr>
              <w:spacing w:before="0" w:after="0"/>
            </w:pPr>
            <w:r>
              <w:t>0</w:t>
            </w:r>
          </w:p>
        </w:tc>
      </w:tr>
      <w:tr w:rsidR="009905D9" w:rsidRPr="009905D9" w14:paraId="22759213" w14:textId="77777777" w:rsidTr="003C7A12">
        <w:trPr>
          <w:trHeight w:val="288"/>
          <w:jc w:val="center"/>
        </w:trPr>
        <w:tc>
          <w:tcPr>
            <w:tcW w:w="3345" w:type="dxa"/>
            <w:vAlign w:val="center"/>
          </w:tcPr>
          <w:p w14:paraId="224E1DCB" w14:textId="77777777" w:rsidR="009905D9" w:rsidRPr="0031199B" w:rsidRDefault="009905D9" w:rsidP="008C4E3E">
            <w:pPr>
              <w:spacing w:before="0" w:after="0"/>
            </w:pPr>
            <w:r w:rsidRPr="0031199B">
              <w:t>Traffic Offense-Criminal</w:t>
            </w:r>
          </w:p>
        </w:tc>
        <w:tc>
          <w:tcPr>
            <w:tcW w:w="1260" w:type="dxa"/>
            <w:vAlign w:val="center"/>
          </w:tcPr>
          <w:p w14:paraId="29D9C55F" w14:textId="77777777" w:rsidR="009905D9" w:rsidRPr="0031199B" w:rsidRDefault="0031199B" w:rsidP="008C4E3E">
            <w:pPr>
              <w:spacing w:before="0" w:after="0"/>
              <w:rPr>
                <w:color w:val="FF0000"/>
              </w:rPr>
            </w:pPr>
            <w:r>
              <w:t>1</w:t>
            </w:r>
          </w:p>
        </w:tc>
      </w:tr>
      <w:tr w:rsidR="009905D9" w:rsidRPr="009905D9" w14:paraId="6BBCD6C5" w14:textId="77777777" w:rsidTr="003C7A12">
        <w:trPr>
          <w:trHeight w:val="288"/>
          <w:jc w:val="center"/>
        </w:trPr>
        <w:tc>
          <w:tcPr>
            <w:tcW w:w="3345" w:type="dxa"/>
            <w:vAlign w:val="center"/>
          </w:tcPr>
          <w:p w14:paraId="13719E19" w14:textId="77777777" w:rsidR="009905D9" w:rsidRPr="009905D9" w:rsidRDefault="009905D9" w:rsidP="008C4E3E">
            <w:pPr>
              <w:spacing w:before="0" w:after="0"/>
            </w:pPr>
            <w:r w:rsidRPr="009905D9">
              <w:t>Felony</w:t>
            </w:r>
          </w:p>
        </w:tc>
        <w:tc>
          <w:tcPr>
            <w:tcW w:w="1260" w:type="dxa"/>
            <w:vAlign w:val="center"/>
          </w:tcPr>
          <w:p w14:paraId="08CAEB98" w14:textId="77777777" w:rsidR="009905D9" w:rsidRPr="009905D9" w:rsidRDefault="009905D9" w:rsidP="008C4E3E">
            <w:pPr>
              <w:spacing w:before="0" w:after="0"/>
            </w:pPr>
            <w:r w:rsidRPr="009905D9">
              <w:t>7</w:t>
            </w:r>
          </w:p>
        </w:tc>
      </w:tr>
      <w:tr w:rsidR="002C0C1A" w:rsidRPr="002C0C1A" w14:paraId="4009340A" w14:textId="77777777" w:rsidTr="003C7A12">
        <w:trPr>
          <w:trHeight w:val="288"/>
          <w:jc w:val="center"/>
        </w:trPr>
        <w:tc>
          <w:tcPr>
            <w:tcW w:w="3345" w:type="dxa"/>
            <w:vAlign w:val="center"/>
          </w:tcPr>
          <w:p w14:paraId="46883861" w14:textId="77777777" w:rsidR="009905D9" w:rsidRPr="002C0C1A" w:rsidRDefault="009905D9" w:rsidP="008C4E3E">
            <w:pPr>
              <w:spacing w:before="0" w:after="0"/>
            </w:pPr>
            <w:r w:rsidRPr="002C0C1A">
              <w:t>Misdemeanor</w:t>
            </w:r>
          </w:p>
        </w:tc>
        <w:tc>
          <w:tcPr>
            <w:tcW w:w="1260" w:type="dxa"/>
            <w:vAlign w:val="center"/>
          </w:tcPr>
          <w:p w14:paraId="72E7C1F8" w14:textId="7C826AE3" w:rsidR="009905D9" w:rsidRPr="002C0C1A" w:rsidRDefault="002C0C1A" w:rsidP="008C4E3E">
            <w:pPr>
              <w:spacing w:before="0" w:after="0"/>
            </w:pPr>
            <w:r>
              <w:t>1</w:t>
            </w:r>
          </w:p>
        </w:tc>
      </w:tr>
      <w:tr w:rsidR="009905D9" w:rsidRPr="009905D9" w14:paraId="36A34FC1" w14:textId="77777777" w:rsidTr="003C7A12">
        <w:trPr>
          <w:trHeight w:val="288"/>
          <w:jc w:val="center"/>
        </w:trPr>
        <w:tc>
          <w:tcPr>
            <w:tcW w:w="3345" w:type="dxa"/>
            <w:vAlign w:val="center"/>
          </w:tcPr>
          <w:p w14:paraId="3C1E41AB" w14:textId="77777777" w:rsidR="009905D9" w:rsidRPr="009905D9" w:rsidRDefault="009905D9" w:rsidP="008C4E3E">
            <w:pPr>
              <w:spacing w:before="0" w:after="0"/>
            </w:pPr>
            <w:r w:rsidRPr="009905D9">
              <w:t>Assist Outside Agency</w:t>
            </w:r>
          </w:p>
        </w:tc>
        <w:tc>
          <w:tcPr>
            <w:tcW w:w="1260" w:type="dxa"/>
            <w:vAlign w:val="center"/>
          </w:tcPr>
          <w:p w14:paraId="6FCA1562" w14:textId="77777777" w:rsidR="009905D9" w:rsidRPr="009905D9" w:rsidRDefault="009905D9" w:rsidP="008C4E3E">
            <w:pPr>
              <w:spacing w:before="0" w:after="0"/>
            </w:pPr>
            <w:r w:rsidRPr="009905D9">
              <w:t>4</w:t>
            </w:r>
          </w:p>
        </w:tc>
      </w:tr>
    </w:tbl>
    <w:p w14:paraId="32378265" w14:textId="77777777" w:rsidR="00075BD5" w:rsidRDefault="00075BD5" w:rsidP="00075BD5">
      <w:pPr>
        <w:autoSpaceDE w:val="0"/>
        <w:autoSpaceDN w:val="0"/>
        <w:jc w:val="both"/>
        <w:rPr>
          <w:rFonts w:eastAsia="Arial Unicode MS"/>
        </w:rPr>
      </w:pPr>
    </w:p>
    <w:p w14:paraId="16922A05" w14:textId="70BB19DC" w:rsidR="00075BD5" w:rsidRDefault="00075BD5" w:rsidP="00075BD5">
      <w:pPr>
        <w:autoSpaceDE w:val="0"/>
        <w:autoSpaceDN w:val="0"/>
        <w:jc w:val="both"/>
        <w:rPr>
          <w:rFonts w:eastAsia="Arial Unicode MS"/>
        </w:rPr>
      </w:pPr>
      <w:r w:rsidRPr="00075BD5">
        <w:rPr>
          <w:rFonts w:eastAsia="Arial Unicode MS"/>
        </w:rPr>
        <w:t xml:space="preserve">There </w:t>
      </w:r>
      <w:r w:rsidR="00F17030" w:rsidRPr="00075BD5">
        <w:rPr>
          <w:rFonts w:eastAsia="Arial Unicode MS"/>
        </w:rPr>
        <w:t>was</w:t>
      </w:r>
      <w:r w:rsidRPr="00075BD5">
        <w:rPr>
          <w:rFonts w:eastAsia="Arial Unicode MS"/>
        </w:rPr>
        <w:t xml:space="preserve"> a total of </w:t>
      </w:r>
      <w:r>
        <w:rPr>
          <w:rFonts w:eastAsia="Arial Unicode MS"/>
        </w:rPr>
        <w:t>12</w:t>
      </w:r>
      <w:r w:rsidRPr="00075BD5">
        <w:rPr>
          <w:rFonts w:eastAsia="Arial Unicode MS"/>
        </w:rPr>
        <w:t xml:space="preserve"> pursuits that took place within the City of Tacoma for 2018.  Four of those pursuits were assisting other agencies such as the Pierce County Sheriff’s </w:t>
      </w:r>
      <w:r>
        <w:rPr>
          <w:rFonts w:eastAsia="Arial Unicode MS"/>
        </w:rPr>
        <w:t>Department</w:t>
      </w:r>
      <w:r w:rsidRPr="00075BD5">
        <w:rPr>
          <w:rFonts w:eastAsia="Arial Unicode MS"/>
        </w:rPr>
        <w:t xml:space="preserve"> </w:t>
      </w:r>
      <w:r w:rsidR="001B1215">
        <w:rPr>
          <w:rFonts w:eastAsia="Arial Unicode MS"/>
        </w:rPr>
        <w:t xml:space="preserve">(PCSD) </w:t>
      </w:r>
      <w:r w:rsidRPr="00075BD5">
        <w:rPr>
          <w:rFonts w:eastAsia="Arial Unicode MS"/>
        </w:rPr>
        <w:t>and the Washington State Patrol</w:t>
      </w:r>
      <w:r w:rsidR="001B1215">
        <w:rPr>
          <w:rFonts w:eastAsia="Arial Unicode MS"/>
        </w:rPr>
        <w:t xml:space="preserve"> (WSP)</w:t>
      </w:r>
      <w:r w:rsidRPr="00075BD5">
        <w:rPr>
          <w:rFonts w:eastAsia="Arial Unicode MS"/>
        </w:rPr>
        <w:t>.</w:t>
      </w:r>
    </w:p>
    <w:p w14:paraId="07C314FF" w14:textId="77777777" w:rsidR="002C0C1A" w:rsidRDefault="002C0C1A" w:rsidP="002C0C1A">
      <w:pPr>
        <w:autoSpaceDE w:val="0"/>
        <w:autoSpaceDN w:val="0"/>
        <w:spacing w:before="0" w:after="0"/>
        <w:jc w:val="both"/>
        <w:rPr>
          <w:rFonts w:eastAsia="Arial Unicode MS"/>
          <w:b/>
        </w:rPr>
      </w:pPr>
    </w:p>
    <w:p w14:paraId="686CB1EA" w14:textId="4C4B81E5" w:rsidR="00075BD5" w:rsidRPr="005E7225" w:rsidRDefault="00075BD5" w:rsidP="003C7A12">
      <w:pPr>
        <w:autoSpaceDE w:val="0"/>
        <w:autoSpaceDN w:val="0"/>
        <w:spacing w:after="240"/>
        <w:jc w:val="both"/>
        <w:rPr>
          <w:rFonts w:eastAsia="Arial Unicode MS"/>
          <w:b/>
        </w:rPr>
      </w:pPr>
      <w:r w:rsidRPr="005E7225">
        <w:rPr>
          <w:rFonts w:eastAsia="Arial Unicode MS"/>
          <w:b/>
        </w:rPr>
        <w:t>Initial Violation: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3"/>
        <w:gridCol w:w="2312"/>
        <w:gridCol w:w="2700"/>
      </w:tblGrid>
      <w:tr w:rsidR="00075BD5" w14:paraId="4B56ECBD" w14:textId="77777777" w:rsidTr="0068755B">
        <w:trPr>
          <w:trHeight w:val="288"/>
          <w:jc w:val="center"/>
        </w:trPr>
        <w:tc>
          <w:tcPr>
            <w:tcW w:w="0" w:type="auto"/>
            <w:shd w:val="clear" w:color="auto" w:fill="auto"/>
          </w:tcPr>
          <w:p w14:paraId="2CF23A66" w14:textId="77777777" w:rsidR="00075BD5" w:rsidRPr="0068755B" w:rsidRDefault="00075BD5" w:rsidP="0068755B">
            <w:pPr>
              <w:autoSpaceDE w:val="0"/>
              <w:autoSpaceDN w:val="0"/>
              <w:spacing w:before="0" w:after="0"/>
              <w:jc w:val="both"/>
              <w:rPr>
                <w:rFonts w:eastAsia="Arial Unicode MS"/>
              </w:rPr>
            </w:pPr>
            <w:r w:rsidRPr="0068755B">
              <w:rPr>
                <w:rFonts w:eastAsia="Arial Unicode MS"/>
              </w:rPr>
              <w:t>Assist outside agency</w:t>
            </w:r>
          </w:p>
        </w:tc>
        <w:tc>
          <w:tcPr>
            <w:tcW w:w="2312" w:type="dxa"/>
            <w:shd w:val="clear" w:color="auto" w:fill="auto"/>
          </w:tcPr>
          <w:p w14:paraId="63B71B7E" w14:textId="77777777" w:rsidR="00075BD5" w:rsidRPr="0068755B" w:rsidRDefault="00075BD5" w:rsidP="0068755B">
            <w:pPr>
              <w:autoSpaceDE w:val="0"/>
              <w:autoSpaceDN w:val="0"/>
              <w:spacing w:before="0" w:after="0"/>
              <w:jc w:val="center"/>
              <w:rPr>
                <w:rFonts w:eastAsia="Arial Unicode MS"/>
              </w:rPr>
            </w:pPr>
            <w:r w:rsidRPr="0068755B">
              <w:rPr>
                <w:rFonts w:eastAsia="Arial Unicode MS"/>
              </w:rPr>
              <w:t>2</w:t>
            </w:r>
          </w:p>
        </w:tc>
        <w:tc>
          <w:tcPr>
            <w:tcW w:w="2700" w:type="dxa"/>
            <w:shd w:val="clear" w:color="auto" w:fill="auto"/>
          </w:tcPr>
          <w:p w14:paraId="02A692B5" w14:textId="77777777" w:rsidR="00075BD5" w:rsidRPr="0068755B" w:rsidRDefault="00075BD5" w:rsidP="0068755B">
            <w:pPr>
              <w:autoSpaceDE w:val="0"/>
              <w:autoSpaceDN w:val="0"/>
              <w:spacing w:before="0" w:after="0"/>
              <w:jc w:val="center"/>
              <w:rPr>
                <w:rFonts w:eastAsia="Arial Unicode MS"/>
              </w:rPr>
            </w:pPr>
            <w:r w:rsidRPr="0068755B">
              <w:rPr>
                <w:rFonts w:eastAsia="Arial Unicode MS"/>
              </w:rPr>
              <w:t>17%</w:t>
            </w:r>
          </w:p>
        </w:tc>
      </w:tr>
      <w:tr w:rsidR="00075BD5" w14:paraId="7CA0CAD4" w14:textId="77777777" w:rsidTr="0068755B">
        <w:trPr>
          <w:trHeight w:val="288"/>
          <w:jc w:val="center"/>
        </w:trPr>
        <w:tc>
          <w:tcPr>
            <w:tcW w:w="0" w:type="auto"/>
            <w:shd w:val="clear" w:color="auto" w:fill="auto"/>
          </w:tcPr>
          <w:p w14:paraId="60C4F756" w14:textId="77777777" w:rsidR="00075BD5" w:rsidRPr="0068755B" w:rsidRDefault="00075BD5" w:rsidP="0068755B">
            <w:pPr>
              <w:autoSpaceDE w:val="0"/>
              <w:autoSpaceDN w:val="0"/>
              <w:spacing w:before="0" w:after="0"/>
              <w:jc w:val="both"/>
              <w:rPr>
                <w:rFonts w:eastAsia="Arial Unicode MS"/>
              </w:rPr>
            </w:pPr>
            <w:r w:rsidRPr="0068755B">
              <w:rPr>
                <w:rFonts w:eastAsia="Arial Unicode MS"/>
              </w:rPr>
              <w:t>Felony-person</w:t>
            </w:r>
          </w:p>
        </w:tc>
        <w:tc>
          <w:tcPr>
            <w:tcW w:w="2312" w:type="dxa"/>
            <w:shd w:val="clear" w:color="auto" w:fill="auto"/>
          </w:tcPr>
          <w:p w14:paraId="7F518591" w14:textId="77777777" w:rsidR="00075BD5" w:rsidRPr="0068755B" w:rsidRDefault="00075BD5" w:rsidP="0068755B">
            <w:pPr>
              <w:autoSpaceDE w:val="0"/>
              <w:autoSpaceDN w:val="0"/>
              <w:spacing w:before="0" w:after="0"/>
              <w:jc w:val="center"/>
              <w:rPr>
                <w:rFonts w:eastAsia="Arial Unicode MS"/>
              </w:rPr>
            </w:pPr>
            <w:r w:rsidRPr="0068755B">
              <w:rPr>
                <w:rFonts w:eastAsia="Arial Unicode MS"/>
              </w:rPr>
              <w:t>7</w:t>
            </w:r>
          </w:p>
        </w:tc>
        <w:tc>
          <w:tcPr>
            <w:tcW w:w="2700" w:type="dxa"/>
            <w:shd w:val="clear" w:color="auto" w:fill="auto"/>
          </w:tcPr>
          <w:p w14:paraId="757DF805" w14:textId="77777777" w:rsidR="00075BD5" w:rsidRPr="0068755B" w:rsidRDefault="00075BD5" w:rsidP="0068755B">
            <w:pPr>
              <w:autoSpaceDE w:val="0"/>
              <w:autoSpaceDN w:val="0"/>
              <w:spacing w:before="0" w:after="0"/>
              <w:jc w:val="center"/>
              <w:rPr>
                <w:rFonts w:eastAsia="Arial Unicode MS"/>
              </w:rPr>
            </w:pPr>
            <w:r w:rsidRPr="0068755B">
              <w:rPr>
                <w:rFonts w:eastAsia="Arial Unicode MS"/>
              </w:rPr>
              <w:t>58%</w:t>
            </w:r>
          </w:p>
        </w:tc>
      </w:tr>
      <w:tr w:rsidR="00075BD5" w14:paraId="74AD56ED" w14:textId="77777777" w:rsidTr="0068755B">
        <w:trPr>
          <w:trHeight w:val="288"/>
          <w:jc w:val="center"/>
        </w:trPr>
        <w:tc>
          <w:tcPr>
            <w:tcW w:w="0" w:type="auto"/>
            <w:shd w:val="clear" w:color="auto" w:fill="auto"/>
          </w:tcPr>
          <w:p w14:paraId="3F922053" w14:textId="77777777" w:rsidR="00075BD5" w:rsidRPr="0068755B" w:rsidRDefault="00075BD5" w:rsidP="0068755B">
            <w:pPr>
              <w:autoSpaceDE w:val="0"/>
              <w:autoSpaceDN w:val="0"/>
              <w:spacing w:before="0" w:after="0"/>
              <w:jc w:val="both"/>
              <w:rPr>
                <w:rFonts w:eastAsia="Arial Unicode MS"/>
              </w:rPr>
            </w:pPr>
            <w:r w:rsidRPr="0068755B">
              <w:rPr>
                <w:rFonts w:eastAsia="Arial Unicode MS"/>
              </w:rPr>
              <w:t>Misdemeanor</w:t>
            </w:r>
          </w:p>
        </w:tc>
        <w:tc>
          <w:tcPr>
            <w:tcW w:w="2312" w:type="dxa"/>
            <w:shd w:val="clear" w:color="auto" w:fill="auto"/>
          </w:tcPr>
          <w:p w14:paraId="63EEECFD" w14:textId="77777777" w:rsidR="00075BD5" w:rsidRPr="0068755B" w:rsidRDefault="00075BD5" w:rsidP="0068755B">
            <w:pPr>
              <w:autoSpaceDE w:val="0"/>
              <w:autoSpaceDN w:val="0"/>
              <w:spacing w:before="0" w:after="0"/>
              <w:jc w:val="center"/>
              <w:rPr>
                <w:rFonts w:eastAsia="Arial Unicode MS"/>
              </w:rPr>
            </w:pPr>
            <w:r w:rsidRPr="0068755B">
              <w:rPr>
                <w:rFonts w:eastAsia="Arial Unicode MS"/>
              </w:rPr>
              <w:t>1</w:t>
            </w:r>
          </w:p>
        </w:tc>
        <w:tc>
          <w:tcPr>
            <w:tcW w:w="2700" w:type="dxa"/>
            <w:shd w:val="clear" w:color="auto" w:fill="auto"/>
          </w:tcPr>
          <w:p w14:paraId="600681C5" w14:textId="77777777" w:rsidR="00075BD5" w:rsidRPr="0068755B" w:rsidRDefault="00075BD5" w:rsidP="0068755B">
            <w:pPr>
              <w:autoSpaceDE w:val="0"/>
              <w:autoSpaceDN w:val="0"/>
              <w:spacing w:before="0" w:after="0"/>
              <w:jc w:val="center"/>
              <w:rPr>
                <w:rFonts w:eastAsia="Arial Unicode MS"/>
              </w:rPr>
            </w:pPr>
            <w:r w:rsidRPr="0068755B">
              <w:rPr>
                <w:rFonts w:eastAsia="Arial Unicode MS"/>
              </w:rPr>
              <w:t>8%</w:t>
            </w:r>
          </w:p>
        </w:tc>
      </w:tr>
      <w:tr w:rsidR="00075BD5" w14:paraId="407A4861" w14:textId="77777777" w:rsidTr="0068755B">
        <w:trPr>
          <w:trHeight w:val="288"/>
          <w:jc w:val="center"/>
        </w:trPr>
        <w:tc>
          <w:tcPr>
            <w:tcW w:w="0" w:type="auto"/>
            <w:shd w:val="clear" w:color="auto" w:fill="auto"/>
          </w:tcPr>
          <w:p w14:paraId="38ECC5AC" w14:textId="7416B4D4" w:rsidR="00075BD5" w:rsidRPr="0068755B" w:rsidRDefault="00075BD5" w:rsidP="0068755B">
            <w:pPr>
              <w:autoSpaceDE w:val="0"/>
              <w:autoSpaceDN w:val="0"/>
              <w:spacing w:before="0" w:after="0"/>
              <w:jc w:val="both"/>
              <w:rPr>
                <w:rFonts w:eastAsia="Arial Unicode MS"/>
              </w:rPr>
            </w:pPr>
            <w:r w:rsidRPr="0068755B">
              <w:rPr>
                <w:rFonts w:eastAsia="Arial Unicode MS"/>
              </w:rPr>
              <w:t>Traffic</w:t>
            </w:r>
            <w:r w:rsidR="00F17030" w:rsidRPr="0068755B">
              <w:rPr>
                <w:rFonts w:eastAsia="Arial Unicode MS"/>
              </w:rPr>
              <w:t xml:space="preserve"> – </w:t>
            </w:r>
            <w:r w:rsidRPr="0068755B">
              <w:rPr>
                <w:rFonts w:eastAsia="Arial Unicode MS"/>
              </w:rPr>
              <w:t>criminal</w:t>
            </w:r>
            <w:r w:rsidR="00F17030" w:rsidRPr="0068755B">
              <w:rPr>
                <w:rFonts w:eastAsia="Arial Unicode MS"/>
              </w:rPr>
              <w:t xml:space="preserve"> </w:t>
            </w:r>
          </w:p>
        </w:tc>
        <w:tc>
          <w:tcPr>
            <w:tcW w:w="2312" w:type="dxa"/>
            <w:shd w:val="clear" w:color="auto" w:fill="auto"/>
          </w:tcPr>
          <w:p w14:paraId="6E682FD3" w14:textId="77777777" w:rsidR="00075BD5" w:rsidRPr="0068755B" w:rsidRDefault="00075BD5" w:rsidP="0068755B">
            <w:pPr>
              <w:autoSpaceDE w:val="0"/>
              <w:autoSpaceDN w:val="0"/>
              <w:spacing w:before="0" w:after="0"/>
              <w:jc w:val="center"/>
              <w:rPr>
                <w:rFonts w:eastAsia="Arial Unicode MS"/>
              </w:rPr>
            </w:pPr>
            <w:r w:rsidRPr="0068755B">
              <w:rPr>
                <w:rFonts w:eastAsia="Arial Unicode MS"/>
              </w:rPr>
              <w:t>1</w:t>
            </w:r>
          </w:p>
        </w:tc>
        <w:tc>
          <w:tcPr>
            <w:tcW w:w="2700" w:type="dxa"/>
            <w:shd w:val="clear" w:color="auto" w:fill="auto"/>
          </w:tcPr>
          <w:p w14:paraId="2DFF916A" w14:textId="77777777" w:rsidR="00075BD5" w:rsidRPr="0068755B" w:rsidRDefault="00075BD5" w:rsidP="0068755B">
            <w:pPr>
              <w:autoSpaceDE w:val="0"/>
              <w:autoSpaceDN w:val="0"/>
              <w:spacing w:before="0" w:after="0"/>
              <w:jc w:val="center"/>
              <w:rPr>
                <w:rFonts w:eastAsia="Arial Unicode MS"/>
              </w:rPr>
            </w:pPr>
            <w:r w:rsidRPr="0068755B">
              <w:rPr>
                <w:rFonts w:eastAsia="Arial Unicode MS"/>
              </w:rPr>
              <w:t>8%</w:t>
            </w:r>
          </w:p>
        </w:tc>
      </w:tr>
      <w:tr w:rsidR="00075BD5" w14:paraId="4FD4F500" w14:textId="77777777" w:rsidTr="0068755B">
        <w:trPr>
          <w:trHeight w:val="288"/>
          <w:jc w:val="center"/>
        </w:trPr>
        <w:tc>
          <w:tcPr>
            <w:tcW w:w="0" w:type="auto"/>
            <w:shd w:val="clear" w:color="auto" w:fill="auto"/>
          </w:tcPr>
          <w:p w14:paraId="2E3785E9" w14:textId="5FE90662" w:rsidR="00075BD5" w:rsidRPr="0068755B" w:rsidRDefault="00075BD5" w:rsidP="0068755B">
            <w:pPr>
              <w:autoSpaceDE w:val="0"/>
              <w:autoSpaceDN w:val="0"/>
              <w:spacing w:before="0" w:after="0"/>
              <w:jc w:val="both"/>
              <w:rPr>
                <w:rFonts w:eastAsia="Arial Unicode MS"/>
              </w:rPr>
            </w:pPr>
            <w:r w:rsidRPr="0068755B">
              <w:rPr>
                <w:rFonts w:eastAsia="Arial Unicode MS"/>
              </w:rPr>
              <w:t>Traffic</w:t>
            </w:r>
            <w:r w:rsidR="00F17030" w:rsidRPr="0068755B">
              <w:rPr>
                <w:rFonts w:eastAsia="Arial Unicode MS"/>
              </w:rPr>
              <w:t xml:space="preserve"> – </w:t>
            </w:r>
            <w:r w:rsidRPr="0068755B">
              <w:rPr>
                <w:rFonts w:eastAsia="Arial Unicode MS"/>
              </w:rPr>
              <w:t>non</w:t>
            </w:r>
            <w:r w:rsidR="00F17030" w:rsidRPr="0068755B">
              <w:rPr>
                <w:rFonts w:eastAsia="Arial Unicode MS"/>
              </w:rPr>
              <w:t>-</w:t>
            </w:r>
            <w:r w:rsidRPr="0068755B">
              <w:rPr>
                <w:rFonts w:eastAsia="Arial Unicode MS"/>
              </w:rPr>
              <w:t>criminal</w:t>
            </w:r>
          </w:p>
        </w:tc>
        <w:tc>
          <w:tcPr>
            <w:tcW w:w="2312" w:type="dxa"/>
            <w:shd w:val="clear" w:color="auto" w:fill="auto"/>
          </w:tcPr>
          <w:p w14:paraId="2318F8DD" w14:textId="77777777" w:rsidR="00075BD5" w:rsidRPr="0068755B" w:rsidRDefault="00075BD5" w:rsidP="0068755B">
            <w:pPr>
              <w:autoSpaceDE w:val="0"/>
              <w:autoSpaceDN w:val="0"/>
              <w:spacing w:before="0" w:after="0"/>
              <w:jc w:val="center"/>
              <w:rPr>
                <w:rFonts w:eastAsia="Arial Unicode MS"/>
              </w:rPr>
            </w:pPr>
            <w:r w:rsidRPr="0068755B">
              <w:rPr>
                <w:rFonts w:eastAsia="Arial Unicode MS"/>
              </w:rPr>
              <w:t>1</w:t>
            </w:r>
          </w:p>
        </w:tc>
        <w:tc>
          <w:tcPr>
            <w:tcW w:w="2700" w:type="dxa"/>
            <w:shd w:val="clear" w:color="auto" w:fill="auto"/>
          </w:tcPr>
          <w:p w14:paraId="100FF920" w14:textId="77777777" w:rsidR="00075BD5" w:rsidRPr="0068755B" w:rsidRDefault="00075BD5" w:rsidP="0068755B">
            <w:pPr>
              <w:autoSpaceDE w:val="0"/>
              <w:autoSpaceDN w:val="0"/>
              <w:spacing w:before="0" w:after="0"/>
              <w:jc w:val="center"/>
              <w:rPr>
                <w:rFonts w:eastAsia="Arial Unicode MS"/>
              </w:rPr>
            </w:pPr>
            <w:r w:rsidRPr="0068755B">
              <w:rPr>
                <w:rFonts w:eastAsia="Arial Unicode MS"/>
              </w:rPr>
              <w:t>8%</w:t>
            </w:r>
          </w:p>
        </w:tc>
      </w:tr>
    </w:tbl>
    <w:p w14:paraId="37C7D991" w14:textId="77777777" w:rsidR="00075BD5" w:rsidRDefault="00075BD5" w:rsidP="00075BD5">
      <w:pPr>
        <w:autoSpaceDE w:val="0"/>
        <w:autoSpaceDN w:val="0"/>
        <w:spacing w:after="240"/>
        <w:jc w:val="both"/>
        <w:rPr>
          <w:rFonts w:eastAsia="Arial Unicode MS"/>
        </w:rPr>
      </w:pPr>
    </w:p>
    <w:p w14:paraId="08F25DFB" w14:textId="05EB873D" w:rsidR="003C7A12" w:rsidRDefault="003C7A12" w:rsidP="00075BD5">
      <w:pPr>
        <w:autoSpaceDE w:val="0"/>
        <w:autoSpaceDN w:val="0"/>
        <w:spacing w:after="240"/>
        <w:jc w:val="both"/>
        <w:rPr>
          <w:rFonts w:eastAsia="Arial Unicode MS"/>
        </w:rPr>
      </w:pPr>
      <w:r>
        <w:rPr>
          <w:rFonts w:eastAsia="Arial Unicode MS"/>
        </w:rPr>
        <w:t>All 12</w:t>
      </w:r>
      <w:r w:rsidRPr="00EA633B">
        <w:rPr>
          <w:rFonts w:eastAsia="Arial Unicode MS"/>
        </w:rPr>
        <w:t xml:space="preserve"> vehicle pursuits were entered into BlueTeam and reviewed by Department supervisors.  </w:t>
      </w:r>
      <w:r>
        <w:rPr>
          <w:rFonts w:eastAsia="Arial Unicode MS"/>
        </w:rPr>
        <w:t xml:space="preserve">Ten out of the 12 TPD pursuits </w:t>
      </w:r>
      <w:r w:rsidRPr="00EA633B">
        <w:rPr>
          <w:rFonts w:eastAsia="Arial Unicode MS"/>
        </w:rPr>
        <w:t xml:space="preserve">were deemed to be within Department </w:t>
      </w:r>
      <w:r w:rsidR="005E7225">
        <w:rPr>
          <w:rFonts w:eastAsia="Arial Unicode MS"/>
        </w:rPr>
        <w:t>p</w:t>
      </w:r>
      <w:r w:rsidRPr="00EA633B">
        <w:rPr>
          <w:rFonts w:eastAsia="Arial Unicode MS"/>
        </w:rPr>
        <w:t>olicy.</w:t>
      </w:r>
      <w:r>
        <w:rPr>
          <w:rFonts w:eastAsia="Arial Unicode MS"/>
        </w:rPr>
        <w:t xml:space="preserve"> The two incidents that were not within Department guidelines were:</w:t>
      </w:r>
    </w:p>
    <w:p w14:paraId="550C128A" w14:textId="77777777" w:rsidR="003C7A12" w:rsidRDefault="003C7A12" w:rsidP="003C7A12">
      <w:pPr>
        <w:numPr>
          <w:ilvl w:val="0"/>
          <w:numId w:val="9"/>
        </w:numPr>
        <w:autoSpaceDE w:val="0"/>
        <w:autoSpaceDN w:val="0"/>
        <w:spacing w:before="0" w:after="0"/>
        <w:jc w:val="both"/>
        <w:rPr>
          <w:rFonts w:eastAsia="Arial Unicode MS"/>
        </w:rPr>
      </w:pPr>
      <w:r>
        <w:rPr>
          <w:rFonts w:eastAsia="Arial Unicode MS"/>
        </w:rPr>
        <w:t>Officer observed a vehicle tr</w:t>
      </w:r>
      <w:bookmarkStart w:id="2" w:name="_GoBack"/>
      <w:bookmarkEnd w:id="2"/>
      <w:r>
        <w:rPr>
          <w:rFonts w:eastAsia="Arial Unicode MS"/>
        </w:rPr>
        <w:t>aveling at a high rate of speed and attempted to stop it.</w:t>
      </w:r>
    </w:p>
    <w:p w14:paraId="4B30265A" w14:textId="767E842F" w:rsidR="003C7A12" w:rsidRDefault="001B1215" w:rsidP="003C7A12">
      <w:pPr>
        <w:numPr>
          <w:ilvl w:val="0"/>
          <w:numId w:val="9"/>
        </w:numPr>
        <w:autoSpaceDE w:val="0"/>
        <w:autoSpaceDN w:val="0"/>
        <w:spacing w:before="0" w:after="0"/>
        <w:jc w:val="both"/>
        <w:rPr>
          <w:rFonts w:eastAsia="Arial Unicode MS"/>
        </w:rPr>
      </w:pPr>
      <w:r>
        <w:rPr>
          <w:rFonts w:eastAsia="Arial Unicode MS"/>
        </w:rPr>
        <w:t>Officer a</w:t>
      </w:r>
      <w:r w:rsidR="003C7A12">
        <w:rPr>
          <w:rFonts w:eastAsia="Arial Unicode MS"/>
        </w:rPr>
        <w:t>ssisted WSP with a vehicle pursuit</w:t>
      </w:r>
      <w:r>
        <w:rPr>
          <w:rFonts w:eastAsia="Arial Unicode MS"/>
        </w:rPr>
        <w:t>.</w:t>
      </w:r>
    </w:p>
    <w:p w14:paraId="6EA1EEDD" w14:textId="11AB6EEA" w:rsidR="007676DB" w:rsidRDefault="007676DB" w:rsidP="007676DB">
      <w:pPr>
        <w:autoSpaceDE w:val="0"/>
        <w:autoSpaceDN w:val="0"/>
        <w:spacing w:before="0" w:after="0"/>
        <w:jc w:val="both"/>
        <w:rPr>
          <w:rFonts w:eastAsia="Arial Unicode MS"/>
        </w:rPr>
      </w:pPr>
    </w:p>
    <w:p w14:paraId="78CAB4A3" w14:textId="2C9652E5" w:rsidR="007676DB" w:rsidRDefault="007676DB" w:rsidP="007676DB">
      <w:pPr>
        <w:autoSpaceDE w:val="0"/>
        <w:autoSpaceDN w:val="0"/>
        <w:spacing w:before="0" w:after="0"/>
        <w:jc w:val="both"/>
        <w:rPr>
          <w:rFonts w:eastAsia="Arial Unicode MS"/>
        </w:rPr>
      </w:pPr>
      <w:r>
        <w:rPr>
          <w:rFonts w:eastAsia="Arial Unicode MS"/>
        </w:rPr>
        <w:t>Neither pursuit met the criteria for initiation/continuation of a pursuit.</w:t>
      </w:r>
    </w:p>
    <w:p w14:paraId="4C6F00A3" w14:textId="59885765" w:rsidR="003C7A12" w:rsidRDefault="0033240A" w:rsidP="003C7A12">
      <w:pPr>
        <w:autoSpaceDE w:val="0"/>
        <w:autoSpaceDN w:val="0"/>
        <w:jc w:val="both"/>
        <w:rPr>
          <w:rFonts w:eastAsia="Arial Unicode MS"/>
        </w:rPr>
      </w:pPr>
      <w:r>
        <w:rPr>
          <w:rFonts w:eastAsia="Arial Unicode MS"/>
        </w:rPr>
        <w:t>Nine o</w:t>
      </w:r>
      <w:r w:rsidR="00A616A6">
        <w:rPr>
          <w:rFonts w:eastAsia="Arial Unicode MS"/>
        </w:rPr>
        <w:t xml:space="preserve">f the </w:t>
      </w:r>
      <w:r w:rsidR="003C7A12">
        <w:rPr>
          <w:rFonts w:eastAsia="Arial Unicode MS"/>
        </w:rPr>
        <w:t xml:space="preserve">12 </w:t>
      </w:r>
      <w:r w:rsidR="003C7A12" w:rsidRPr="00EA633B">
        <w:rPr>
          <w:rFonts w:eastAsia="Arial Unicode MS"/>
        </w:rPr>
        <w:t>vehicle pursuits (</w:t>
      </w:r>
      <w:r w:rsidR="003C7A12">
        <w:rPr>
          <w:rFonts w:eastAsia="Arial Unicode MS"/>
        </w:rPr>
        <w:t>75%)</w:t>
      </w:r>
      <w:r w:rsidR="003C7A12" w:rsidRPr="00EA633B">
        <w:rPr>
          <w:rFonts w:eastAsia="Arial Unicode MS"/>
        </w:rPr>
        <w:t xml:space="preserve"> took place on clear days/nights</w:t>
      </w:r>
      <w:r w:rsidR="003C7A12">
        <w:rPr>
          <w:rFonts w:eastAsia="Arial Unicode MS"/>
        </w:rPr>
        <w:t>.</w:t>
      </w:r>
    </w:p>
    <w:p w14:paraId="5978549D" w14:textId="5E8D96C8" w:rsidR="003C7A12" w:rsidRDefault="003C7A12" w:rsidP="003C7A12">
      <w:pPr>
        <w:autoSpaceDE w:val="0"/>
        <w:autoSpaceDN w:val="0"/>
        <w:jc w:val="both"/>
        <w:rPr>
          <w:rFonts w:eastAsia="Arial Unicode MS"/>
        </w:rPr>
      </w:pPr>
      <w:r>
        <w:rPr>
          <w:rFonts w:eastAsia="Arial Unicode MS"/>
        </w:rPr>
        <w:t>There was no in-car camera video available in any of the 12 pursuits.</w:t>
      </w:r>
    </w:p>
    <w:p w14:paraId="78DE4F5E" w14:textId="0397CBC1" w:rsidR="0033240A" w:rsidRDefault="0033240A" w:rsidP="003C7A12">
      <w:pPr>
        <w:autoSpaceDE w:val="0"/>
        <w:autoSpaceDN w:val="0"/>
        <w:jc w:val="both"/>
        <w:rPr>
          <w:rFonts w:eastAsia="Arial Unicode MS"/>
        </w:rPr>
      </w:pPr>
    </w:p>
    <w:p w14:paraId="71704F4D" w14:textId="34B3C634" w:rsidR="0033240A" w:rsidRPr="00294B2E" w:rsidRDefault="0033240A" w:rsidP="00F06E02">
      <w:pPr>
        <w:autoSpaceDE w:val="0"/>
        <w:autoSpaceDN w:val="0"/>
        <w:spacing w:after="240"/>
        <w:jc w:val="both"/>
        <w:rPr>
          <w:rFonts w:eastAsia="Arial Unicode MS"/>
          <w:b/>
        </w:rPr>
      </w:pPr>
      <w:r w:rsidRPr="00294B2E">
        <w:rPr>
          <w:rFonts w:eastAsia="Arial Unicode MS"/>
          <w:b/>
        </w:rPr>
        <w:t>Event that Concluded the Pursuit: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4"/>
        <w:gridCol w:w="723"/>
        <w:gridCol w:w="2595"/>
      </w:tblGrid>
      <w:tr w:rsidR="0068755B" w14:paraId="1521C10C" w14:textId="77777777" w:rsidTr="0068755B">
        <w:trPr>
          <w:jc w:val="center"/>
        </w:trPr>
        <w:tc>
          <w:tcPr>
            <w:tcW w:w="3664" w:type="dxa"/>
            <w:shd w:val="clear" w:color="auto" w:fill="auto"/>
          </w:tcPr>
          <w:p w14:paraId="4CB700EA" w14:textId="77777777" w:rsidR="0033240A" w:rsidRPr="0068755B" w:rsidRDefault="0033240A" w:rsidP="0068755B">
            <w:pPr>
              <w:autoSpaceDE w:val="0"/>
              <w:autoSpaceDN w:val="0"/>
              <w:spacing w:before="0" w:after="0"/>
              <w:jc w:val="both"/>
              <w:rPr>
                <w:rFonts w:eastAsia="Arial Unicode MS"/>
              </w:rPr>
            </w:pPr>
            <w:r w:rsidRPr="0068755B">
              <w:rPr>
                <w:rFonts w:eastAsia="Arial Unicode MS"/>
              </w:rPr>
              <w:t>Handed over to another agency</w:t>
            </w:r>
          </w:p>
        </w:tc>
        <w:tc>
          <w:tcPr>
            <w:tcW w:w="723" w:type="dxa"/>
            <w:shd w:val="clear" w:color="auto" w:fill="auto"/>
          </w:tcPr>
          <w:p w14:paraId="23AAE215" w14:textId="77777777" w:rsidR="0033240A" w:rsidRPr="0068755B" w:rsidRDefault="0033240A" w:rsidP="0068755B">
            <w:pPr>
              <w:autoSpaceDE w:val="0"/>
              <w:autoSpaceDN w:val="0"/>
              <w:spacing w:before="0" w:after="0"/>
              <w:jc w:val="center"/>
              <w:rPr>
                <w:rFonts w:eastAsia="Arial Unicode MS"/>
              </w:rPr>
            </w:pPr>
            <w:r w:rsidRPr="0068755B">
              <w:rPr>
                <w:rFonts w:eastAsia="Arial Unicode MS"/>
              </w:rPr>
              <w:t>1</w:t>
            </w:r>
          </w:p>
        </w:tc>
        <w:tc>
          <w:tcPr>
            <w:tcW w:w="2595" w:type="dxa"/>
            <w:shd w:val="clear" w:color="auto" w:fill="auto"/>
          </w:tcPr>
          <w:p w14:paraId="6DB007A2" w14:textId="77777777" w:rsidR="0033240A" w:rsidRPr="0068755B" w:rsidRDefault="0033240A" w:rsidP="0068755B">
            <w:pPr>
              <w:autoSpaceDE w:val="0"/>
              <w:autoSpaceDN w:val="0"/>
              <w:spacing w:before="0" w:after="0"/>
              <w:jc w:val="center"/>
              <w:rPr>
                <w:rFonts w:eastAsia="Arial Unicode MS"/>
              </w:rPr>
            </w:pPr>
            <w:r w:rsidRPr="0068755B">
              <w:rPr>
                <w:rFonts w:eastAsia="Arial Unicode MS"/>
              </w:rPr>
              <w:t>8%</w:t>
            </w:r>
          </w:p>
        </w:tc>
      </w:tr>
      <w:tr w:rsidR="0068755B" w14:paraId="3495755E" w14:textId="77777777" w:rsidTr="0068755B">
        <w:trPr>
          <w:jc w:val="center"/>
        </w:trPr>
        <w:tc>
          <w:tcPr>
            <w:tcW w:w="3664" w:type="dxa"/>
            <w:shd w:val="clear" w:color="auto" w:fill="auto"/>
          </w:tcPr>
          <w:p w14:paraId="4AF7B21D" w14:textId="6E59C90B" w:rsidR="0033240A" w:rsidRPr="0068755B" w:rsidRDefault="005E7225" w:rsidP="0068755B">
            <w:pPr>
              <w:autoSpaceDE w:val="0"/>
              <w:autoSpaceDN w:val="0"/>
              <w:spacing w:before="0" w:after="0"/>
              <w:jc w:val="both"/>
              <w:rPr>
                <w:rFonts w:eastAsia="Arial Unicode MS"/>
              </w:rPr>
            </w:pPr>
            <w:r>
              <w:rPr>
                <w:rFonts w:eastAsia="Arial Unicode MS"/>
              </w:rPr>
              <w:t>PI</w:t>
            </w:r>
            <w:r w:rsidR="00F06E02" w:rsidRPr="0068755B">
              <w:rPr>
                <w:rFonts w:eastAsia="Arial Unicode MS"/>
              </w:rPr>
              <w:t>T</w:t>
            </w:r>
            <w:r>
              <w:rPr>
                <w:rFonts w:eastAsia="Arial Unicode MS"/>
              </w:rPr>
              <w:t xml:space="preserve"> Maneuver </w:t>
            </w:r>
          </w:p>
        </w:tc>
        <w:tc>
          <w:tcPr>
            <w:tcW w:w="723" w:type="dxa"/>
            <w:shd w:val="clear" w:color="auto" w:fill="auto"/>
          </w:tcPr>
          <w:p w14:paraId="1B78EAB0" w14:textId="77777777" w:rsidR="0033240A" w:rsidRPr="0068755B" w:rsidRDefault="0033240A" w:rsidP="0068755B">
            <w:pPr>
              <w:autoSpaceDE w:val="0"/>
              <w:autoSpaceDN w:val="0"/>
              <w:spacing w:before="0" w:after="0"/>
              <w:jc w:val="center"/>
              <w:rPr>
                <w:rFonts w:eastAsia="Arial Unicode MS"/>
              </w:rPr>
            </w:pPr>
            <w:r w:rsidRPr="0068755B">
              <w:rPr>
                <w:rFonts w:eastAsia="Arial Unicode MS"/>
              </w:rPr>
              <w:t>3</w:t>
            </w:r>
          </w:p>
        </w:tc>
        <w:tc>
          <w:tcPr>
            <w:tcW w:w="2595" w:type="dxa"/>
            <w:shd w:val="clear" w:color="auto" w:fill="auto"/>
          </w:tcPr>
          <w:p w14:paraId="08D027D9" w14:textId="77777777" w:rsidR="0033240A" w:rsidRPr="0068755B" w:rsidRDefault="0033240A" w:rsidP="0068755B">
            <w:pPr>
              <w:autoSpaceDE w:val="0"/>
              <w:autoSpaceDN w:val="0"/>
              <w:spacing w:before="0" w:after="0"/>
              <w:jc w:val="center"/>
              <w:rPr>
                <w:rFonts w:eastAsia="Arial Unicode MS"/>
              </w:rPr>
            </w:pPr>
            <w:r w:rsidRPr="0068755B">
              <w:rPr>
                <w:rFonts w:eastAsia="Arial Unicode MS"/>
              </w:rPr>
              <w:t>25%</w:t>
            </w:r>
          </w:p>
        </w:tc>
      </w:tr>
      <w:tr w:rsidR="0068755B" w14:paraId="6009EB1F" w14:textId="77777777" w:rsidTr="0068755B">
        <w:trPr>
          <w:jc w:val="center"/>
        </w:trPr>
        <w:tc>
          <w:tcPr>
            <w:tcW w:w="3664" w:type="dxa"/>
            <w:shd w:val="clear" w:color="auto" w:fill="auto"/>
          </w:tcPr>
          <w:p w14:paraId="64C46034" w14:textId="77777777" w:rsidR="0033240A" w:rsidRPr="0068755B" w:rsidRDefault="0033240A" w:rsidP="0068755B">
            <w:pPr>
              <w:autoSpaceDE w:val="0"/>
              <w:autoSpaceDN w:val="0"/>
              <w:spacing w:before="0" w:after="0"/>
              <w:jc w:val="both"/>
              <w:rPr>
                <w:rFonts w:eastAsia="Arial Unicode MS"/>
              </w:rPr>
            </w:pPr>
            <w:r w:rsidRPr="0068755B">
              <w:rPr>
                <w:rFonts w:eastAsia="Arial Unicode MS"/>
              </w:rPr>
              <w:t>Suspect stopped vehicle</w:t>
            </w:r>
          </w:p>
        </w:tc>
        <w:tc>
          <w:tcPr>
            <w:tcW w:w="723" w:type="dxa"/>
            <w:shd w:val="clear" w:color="auto" w:fill="auto"/>
          </w:tcPr>
          <w:p w14:paraId="5CAB888D" w14:textId="77777777" w:rsidR="0033240A" w:rsidRPr="0068755B" w:rsidRDefault="0033240A" w:rsidP="0068755B">
            <w:pPr>
              <w:autoSpaceDE w:val="0"/>
              <w:autoSpaceDN w:val="0"/>
              <w:spacing w:before="0" w:after="0"/>
              <w:jc w:val="center"/>
              <w:rPr>
                <w:rFonts w:eastAsia="Arial Unicode MS"/>
              </w:rPr>
            </w:pPr>
            <w:r w:rsidRPr="0068755B">
              <w:rPr>
                <w:rFonts w:eastAsia="Arial Unicode MS"/>
              </w:rPr>
              <w:t>2</w:t>
            </w:r>
          </w:p>
        </w:tc>
        <w:tc>
          <w:tcPr>
            <w:tcW w:w="2595" w:type="dxa"/>
            <w:shd w:val="clear" w:color="auto" w:fill="auto"/>
          </w:tcPr>
          <w:p w14:paraId="3BA26503" w14:textId="77777777" w:rsidR="0033240A" w:rsidRPr="0068755B" w:rsidRDefault="0033240A" w:rsidP="0068755B">
            <w:pPr>
              <w:autoSpaceDE w:val="0"/>
              <w:autoSpaceDN w:val="0"/>
              <w:spacing w:before="0" w:after="0"/>
              <w:jc w:val="center"/>
              <w:rPr>
                <w:rFonts w:eastAsia="Arial Unicode MS"/>
              </w:rPr>
            </w:pPr>
            <w:r w:rsidRPr="0068755B">
              <w:rPr>
                <w:rFonts w:eastAsia="Arial Unicode MS"/>
              </w:rPr>
              <w:t>17%</w:t>
            </w:r>
          </w:p>
        </w:tc>
      </w:tr>
      <w:tr w:rsidR="0068755B" w14:paraId="12B9F621" w14:textId="77777777" w:rsidTr="0068755B">
        <w:trPr>
          <w:jc w:val="center"/>
        </w:trPr>
        <w:tc>
          <w:tcPr>
            <w:tcW w:w="3664" w:type="dxa"/>
            <w:shd w:val="clear" w:color="auto" w:fill="auto"/>
          </w:tcPr>
          <w:p w14:paraId="778DE597" w14:textId="77777777" w:rsidR="0033240A" w:rsidRPr="0068755B" w:rsidRDefault="0033240A" w:rsidP="0068755B">
            <w:pPr>
              <w:autoSpaceDE w:val="0"/>
              <w:autoSpaceDN w:val="0"/>
              <w:spacing w:before="0" w:after="0"/>
              <w:jc w:val="both"/>
              <w:rPr>
                <w:rFonts w:eastAsia="Arial Unicode MS"/>
              </w:rPr>
            </w:pPr>
            <w:r w:rsidRPr="0068755B">
              <w:rPr>
                <w:rFonts w:eastAsia="Arial Unicode MS"/>
              </w:rPr>
              <w:t>Suspect vehicle crashed</w:t>
            </w:r>
          </w:p>
        </w:tc>
        <w:tc>
          <w:tcPr>
            <w:tcW w:w="723" w:type="dxa"/>
            <w:shd w:val="clear" w:color="auto" w:fill="auto"/>
          </w:tcPr>
          <w:p w14:paraId="19ADD030" w14:textId="77777777" w:rsidR="0033240A" w:rsidRPr="0068755B" w:rsidRDefault="0033240A" w:rsidP="0068755B">
            <w:pPr>
              <w:autoSpaceDE w:val="0"/>
              <w:autoSpaceDN w:val="0"/>
              <w:spacing w:before="0" w:after="0"/>
              <w:jc w:val="center"/>
              <w:rPr>
                <w:rFonts w:eastAsia="Arial Unicode MS"/>
              </w:rPr>
            </w:pPr>
            <w:r w:rsidRPr="0068755B">
              <w:rPr>
                <w:rFonts w:eastAsia="Arial Unicode MS"/>
              </w:rPr>
              <w:t>5</w:t>
            </w:r>
          </w:p>
        </w:tc>
        <w:tc>
          <w:tcPr>
            <w:tcW w:w="2595" w:type="dxa"/>
            <w:shd w:val="clear" w:color="auto" w:fill="auto"/>
          </w:tcPr>
          <w:p w14:paraId="3C187E81" w14:textId="77777777" w:rsidR="0033240A" w:rsidRPr="0068755B" w:rsidRDefault="0033240A" w:rsidP="0068755B">
            <w:pPr>
              <w:autoSpaceDE w:val="0"/>
              <w:autoSpaceDN w:val="0"/>
              <w:spacing w:before="0" w:after="0"/>
              <w:jc w:val="center"/>
              <w:rPr>
                <w:rFonts w:eastAsia="Arial Unicode MS"/>
              </w:rPr>
            </w:pPr>
            <w:r w:rsidRPr="0068755B">
              <w:rPr>
                <w:rFonts w:eastAsia="Arial Unicode MS"/>
              </w:rPr>
              <w:t>42%</w:t>
            </w:r>
          </w:p>
        </w:tc>
      </w:tr>
      <w:tr w:rsidR="0068755B" w14:paraId="0A0994AB" w14:textId="77777777" w:rsidTr="0068755B">
        <w:trPr>
          <w:jc w:val="center"/>
        </w:trPr>
        <w:tc>
          <w:tcPr>
            <w:tcW w:w="3664" w:type="dxa"/>
            <w:shd w:val="clear" w:color="auto" w:fill="auto"/>
          </w:tcPr>
          <w:p w14:paraId="03240C9C" w14:textId="0EA5BDA2" w:rsidR="0033240A" w:rsidRPr="0068755B" w:rsidRDefault="0033240A" w:rsidP="0068755B">
            <w:pPr>
              <w:autoSpaceDE w:val="0"/>
              <w:autoSpaceDN w:val="0"/>
              <w:spacing w:before="0" w:after="0"/>
              <w:jc w:val="both"/>
              <w:rPr>
                <w:rFonts w:eastAsia="Arial Unicode MS"/>
                <w:color w:val="FF0000"/>
              </w:rPr>
            </w:pPr>
            <w:r w:rsidRPr="0068755B">
              <w:rPr>
                <w:rFonts w:eastAsia="Arial Unicode MS"/>
              </w:rPr>
              <w:t>Suspect vehicle eluded pursuit</w:t>
            </w:r>
          </w:p>
        </w:tc>
        <w:tc>
          <w:tcPr>
            <w:tcW w:w="723" w:type="dxa"/>
            <w:shd w:val="clear" w:color="auto" w:fill="auto"/>
          </w:tcPr>
          <w:p w14:paraId="19046E21" w14:textId="77777777" w:rsidR="0033240A" w:rsidRPr="0068755B" w:rsidRDefault="0033240A" w:rsidP="0068755B">
            <w:pPr>
              <w:autoSpaceDE w:val="0"/>
              <w:autoSpaceDN w:val="0"/>
              <w:spacing w:before="0" w:after="0"/>
              <w:jc w:val="center"/>
              <w:rPr>
                <w:rFonts w:eastAsia="Arial Unicode MS"/>
              </w:rPr>
            </w:pPr>
            <w:r w:rsidRPr="0068755B">
              <w:rPr>
                <w:rFonts w:eastAsia="Arial Unicode MS"/>
              </w:rPr>
              <w:t>1</w:t>
            </w:r>
          </w:p>
        </w:tc>
        <w:tc>
          <w:tcPr>
            <w:tcW w:w="2595" w:type="dxa"/>
            <w:shd w:val="clear" w:color="auto" w:fill="auto"/>
          </w:tcPr>
          <w:p w14:paraId="5A0196F8" w14:textId="77777777" w:rsidR="0033240A" w:rsidRPr="0068755B" w:rsidRDefault="0033240A" w:rsidP="0068755B">
            <w:pPr>
              <w:autoSpaceDE w:val="0"/>
              <w:autoSpaceDN w:val="0"/>
              <w:spacing w:before="0" w:after="0"/>
              <w:jc w:val="center"/>
              <w:rPr>
                <w:rFonts w:eastAsia="Arial Unicode MS"/>
              </w:rPr>
            </w:pPr>
            <w:r w:rsidRPr="0068755B">
              <w:rPr>
                <w:rFonts w:eastAsia="Arial Unicode MS"/>
              </w:rPr>
              <w:t>8%</w:t>
            </w:r>
          </w:p>
        </w:tc>
      </w:tr>
    </w:tbl>
    <w:p w14:paraId="0C54B301" w14:textId="0919939A" w:rsidR="0033240A" w:rsidRDefault="0033240A" w:rsidP="003C7A12">
      <w:pPr>
        <w:autoSpaceDE w:val="0"/>
        <w:autoSpaceDN w:val="0"/>
        <w:jc w:val="both"/>
        <w:rPr>
          <w:rFonts w:eastAsia="Arial Unicode MS"/>
          <w:b/>
        </w:rPr>
      </w:pPr>
    </w:p>
    <w:p w14:paraId="6D00BDAE" w14:textId="6B1B3136" w:rsidR="00F06E02" w:rsidRDefault="00F06E02" w:rsidP="00F06E02">
      <w:pPr>
        <w:autoSpaceDE w:val="0"/>
        <w:autoSpaceDN w:val="0"/>
        <w:jc w:val="both"/>
        <w:rPr>
          <w:rFonts w:eastAsia="Arial Unicode MS"/>
        </w:rPr>
      </w:pPr>
      <w:r>
        <w:rPr>
          <w:rFonts w:eastAsia="Arial Unicode MS"/>
        </w:rPr>
        <w:t>Two</w:t>
      </w:r>
      <w:r w:rsidRPr="00EA633B">
        <w:rPr>
          <w:rFonts w:eastAsia="Arial Unicode MS"/>
        </w:rPr>
        <w:t xml:space="preserve"> vehicle pursuits (</w:t>
      </w:r>
      <w:r>
        <w:rPr>
          <w:rFonts w:eastAsia="Arial Unicode MS"/>
        </w:rPr>
        <w:t>17</w:t>
      </w:r>
      <w:r w:rsidRPr="00EA633B">
        <w:rPr>
          <w:rFonts w:eastAsia="Arial Unicode MS"/>
        </w:rPr>
        <w:t>%)</w:t>
      </w:r>
      <w:r>
        <w:rPr>
          <w:rFonts w:eastAsia="Arial Unicode MS"/>
        </w:rPr>
        <w:t xml:space="preserve"> </w:t>
      </w:r>
      <w:r w:rsidRPr="00F06E02">
        <w:rPr>
          <w:rFonts w:eastAsia="Arial Unicode MS"/>
          <w:color w:val="000000"/>
        </w:rPr>
        <w:t xml:space="preserve">were where the suspect stopped </w:t>
      </w:r>
      <w:r>
        <w:rPr>
          <w:rFonts w:eastAsia="Arial Unicode MS"/>
        </w:rPr>
        <w:t xml:space="preserve">on its own accord.  In three vehicle pursuits (25%), </w:t>
      </w:r>
      <w:r w:rsidRPr="00EA633B">
        <w:rPr>
          <w:rFonts w:eastAsia="Arial Unicode MS"/>
        </w:rPr>
        <w:t>the of</w:t>
      </w:r>
      <w:r>
        <w:rPr>
          <w:rFonts w:eastAsia="Arial Unicode MS"/>
        </w:rPr>
        <w:t xml:space="preserve">ficers used the PIT </w:t>
      </w:r>
      <w:r w:rsidR="005E7225">
        <w:rPr>
          <w:rFonts w:eastAsia="Arial Unicode MS"/>
        </w:rPr>
        <w:t>M</w:t>
      </w:r>
      <w:r>
        <w:rPr>
          <w:rFonts w:eastAsia="Arial Unicode MS"/>
        </w:rPr>
        <w:t>aneuver.  Five suspect vehicles crashed (42%), and one suspect vehicle eluded the pursuit.</w:t>
      </w:r>
    </w:p>
    <w:p w14:paraId="2A8AF85B" w14:textId="77777777" w:rsidR="00F17030" w:rsidRPr="00EA633B" w:rsidRDefault="00F17030" w:rsidP="00F06E02">
      <w:pPr>
        <w:autoSpaceDE w:val="0"/>
        <w:autoSpaceDN w:val="0"/>
        <w:jc w:val="both"/>
        <w:rPr>
          <w:rFonts w:eastAsia="Arial Unicode MS"/>
        </w:rPr>
      </w:pPr>
    </w:p>
    <w:p w14:paraId="681BAD64" w14:textId="77777777" w:rsidR="00F06E02" w:rsidRPr="001B1215" w:rsidRDefault="00F06E02" w:rsidP="00F06E02">
      <w:pPr>
        <w:autoSpaceDE w:val="0"/>
        <w:autoSpaceDN w:val="0"/>
        <w:jc w:val="both"/>
        <w:rPr>
          <w:rFonts w:eastAsia="Arial Unicode MS"/>
          <w:b/>
          <w:bCs/>
          <w:u w:val="single"/>
        </w:rPr>
      </w:pPr>
      <w:r w:rsidRPr="001B1215">
        <w:rPr>
          <w:rFonts w:eastAsia="Arial Unicode MS"/>
          <w:b/>
          <w:bCs/>
          <w:u w:val="single"/>
        </w:rPr>
        <w:t>ANALYSIS</w:t>
      </w:r>
    </w:p>
    <w:p w14:paraId="08D7B6E3" w14:textId="69539913" w:rsidR="00F06E02" w:rsidRPr="00EA633B" w:rsidRDefault="00F06E02" w:rsidP="00F06E02">
      <w:pPr>
        <w:autoSpaceDE w:val="0"/>
        <w:autoSpaceDN w:val="0"/>
        <w:jc w:val="both"/>
        <w:rPr>
          <w:rFonts w:eastAsia="Arial Unicode MS"/>
        </w:rPr>
      </w:pPr>
      <w:r w:rsidRPr="00EA633B">
        <w:rPr>
          <w:rFonts w:eastAsia="Arial Unicode MS"/>
        </w:rPr>
        <w:t xml:space="preserve">The number of pursuits that </w:t>
      </w:r>
      <w:r>
        <w:rPr>
          <w:rFonts w:eastAsia="Arial Unicode MS"/>
        </w:rPr>
        <w:t xml:space="preserve">the Department was involved in increased from 4 in 2017 to 12 in 2018. That was an increase of </w:t>
      </w:r>
      <w:r w:rsidRPr="002C0C1A">
        <w:rPr>
          <w:rFonts w:eastAsia="Arial Unicode MS"/>
        </w:rPr>
        <w:t>300%.</w:t>
      </w:r>
      <w:r>
        <w:rPr>
          <w:rFonts w:eastAsia="Arial Unicode MS"/>
        </w:rPr>
        <w:t xml:space="preserve"> </w:t>
      </w:r>
    </w:p>
    <w:p w14:paraId="69E96F5F" w14:textId="7A0BA84B" w:rsidR="00F06E02" w:rsidRDefault="00F06E02" w:rsidP="00F06E02">
      <w:pPr>
        <w:autoSpaceDE w:val="0"/>
        <w:autoSpaceDN w:val="0"/>
        <w:jc w:val="both"/>
        <w:rPr>
          <w:rFonts w:eastAsia="Arial Unicode MS"/>
        </w:rPr>
      </w:pPr>
      <w:r>
        <w:rPr>
          <w:rFonts w:eastAsia="Arial Unicode MS"/>
        </w:rPr>
        <w:t>None of the pursuits were terminated in 2017</w:t>
      </w:r>
      <w:r w:rsidR="00134FAF">
        <w:rPr>
          <w:rFonts w:eastAsia="Arial Unicode MS"/>
        </w:rPr>
        <w:t>,</w:t>
      </w:r>
      <w:r>
        <w:rPr>
          <w:rFonts w:eastAsia="Arial Unicode MS"/>
        </w:rPr>
        <w:t xml:space="preserve"> and one was </w:t>
      </w:r>
      <w:r w:rsidR="00134FAF">
        <w:rPr>
          <w:rFonts w:eastAsia="Arial Unicode MS"/>
        </w:rPr>
        <w:t>terminated</w:t>
      </w:r>
      <w:r>
        <w:rPr>
          <w:rFonts w:eastAsia="Arial Unicode MS"/>
        </w:rPr>
        <w:t xml:space="preserve"> in 2018.</w:t>
      </w:r>
    </w:p>
    <w:p w14:paraId="4D7B44CF" w14:textId="32CB443C" w:rsidR="00F06E02" w:rsidRPr="00EA633B" w:rsidRDefault="00F06E02" w:rsidP="00F06E02">
      <w:pPr>
        <w:autoSpaceDE w:val="0"/>
        <w:autoSpaceDN w:val="0"/>
        <w:jc w:val="both"/>
        <w:rPr>
          <w:rFonts w:eastAsia="Arial Unicode MS"/>
          <w:bCs/>
        </w:rPr>
      </w:pPr>
      <w:r w:rsidRPr="00EA633B">
        <w:rPr>
          <w:rFonts w:eastAsia="Arial Unicode MS"/>
          <w:bCs/>
        </w:rPr>
        <w:t xml:space="preserve">Of the </w:t>
      </w:r>
      <w:r>
        <w:rPr>
          <w:rFonts w:eastAsia="Arial Unicode MS"/>
          <w:bCs/>
        </w:rPr>
        <w:t>12</w:t>
      </w:r>
      <w:r w:rsidRPr="00EA633B">
        <w:rPr>
          <w:rFonts w:eastAsia="Arial Unicode MS"/>
          <w:bCs/>
        </w:rPr>
        <w:t xml:space="preserve"> vehicle pursuits, </w:t>
      </w:r>
      <w:r>
        <w:rPr>
          <w:rFonts w:eastAsia="Arial Unicode MS"/>
          <w:bCs/>
        </w:rPr>
        <w:t>one</w:t>
      </w:r>
      <w:r w:rsidRPr="00EA633B">
        <w:rPr>
          <w:rFonts w:eastAsia="Arial Unicode MS"/>
          <w:bCs/>
        </w:rPr>
        <w:t xml:space="preserve"> occurred on </w:t>
      </w:r>
      <w:r>
        <w:rPr>
          <w:rFonts w:eastAsia="Arial Unicode MS"/>
          <w:bCs/>
        </w:rPr>
        <w:t>day</w:t>
      </w:r>
      <w:r w:rsidRPr="00EA633B">
        <w:rPr>
          <w:rFonts w:eastAsia="Arial Unicode MS"/>
          <w:bCs/>
        </w:rPr>
        <w:t xml:space="preserve"> shift, </w:t>
      </w:r>
      <w:r>
        <w:rPr>
          <w:rFonts w:eastAsia="Arial Unicode MS"/>
          <w:bCs/>
        </w:rPr>
        <w:t>three</w:t>
      </w:r>
      <w:r w:rsidRPr="00EA633B">
        <w:rPr>
          <w:rFonts w:eastAsia="Arial Unicode MS"/>
          <w:bCs/>
        </w:rPr>
        <w:t xml:space="preserve"> occurred during swing shift</w:t>
      </w:r>
      <w:r>
        <w:rPr>
          <w:rFonts w:eastAsia="Arial Unicode MS"/>
          <w:bCs/>
        </w:rPr>
        <w:t>, and eight occurred during graveyard hours</w:t>
      </w:r>
      <w:r w:rsidR="00294B2E">
        <w:rPr>
          <w:rFonts w:eastAsia="Arial Unicode MS"/>
          <w:bCs/>
        </w:rPr>
        <w:t>, to include swing shift/graveyard shift overlap</w:t>
      </w:r>
      <w:r w:rsidRPr="00EA633B">
        <w:rPr>
          <w:rFonts w:eastAsia="Arial Unicode MS"/>
          <w:bCs/>
        </w:rPr>
        <w:t>.</w:t>
      </w:r>
    </w:p>
    <w:p w14:paraId="0D0B9F2E" w14:textId="77777777" w:rsidR="00F06E02" w:rsidRPr="00EA633B" w:rsidRDefault="00F06E02" w:rsidP="00F06E02">
      <w:pPr>
        <w:autoSpaceDE w:val="0"/>
        <w:autoSpaceDN w:val="0"/>
        <w:rPr>
          <w:rFonts w:eastAsia="Arial Unicode MS"/>
          <w:bCs/>
        </w:rPr>
      </w:pPr>
    </w:p>
    <w:tbl>
      <w:tblPr>
        <w:tblW w:w="7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28"/>
        <w:gridCol w:w="900"/>
        <w:gridCol w:w="1661"/>
      </w:tblGrid>
      <w:tr w:rsidR="00F06E02" w:rsidRPr="00EA633B" w14:paraId="76F8A9A3" w14:textId="77777777" w:rsidTr="00F06E02">
        <w:trPr>
          <w:jc w:val="center"/>
        </w:trPr>
        <w:tc>
          <w:tcPr>
            <w:tcW w:w="4528" w:type="dxa"/>
          </w:tcPr>
          <w:p w14:paraId="11E6635B" w14:textId="77777777" w:rsidR="00F06E02" w:rsidRPr="00EA633B" w:rsidRDefault="00F06E02" w:rsidP="00F06E02">
            <w:pPr>
              <w:spacing w:before="0" w:after="0"/>
            </w:pPr>
            <w:r w:rsidRPr="00EA633B">
              <w:t>Shift</w:t>
            </w:r>
          </w:p>
        </w:tc>
        <w:tc>
          <w:tcPr>
            <w:tcW w:w="900" w:type="dxa"/>
          </w:tcPr>
          <w:p w14:paraId="4E7E6403" w14:textId="77777777" w:rsidR="00F06E02" w:rsidRPr="00EA633B" w:rsidRDefault="00F06E02" w:rsidP="00F06E02">
            <w:pPr>
              <w:spacing w:before="0" w:after="0"/>
              <w:jc w:val="center"/>
            </w:pPr>
            <w:r>
              <w:t>2017</w:t>
            </w:r>
          </w:p>
        </w:tc>
        <w:tc>
          <w:tcPr>
            <w:tcW w:w="1661" w:type="dxa"/>
          </w:tcPr>
          <w:p w14:paraId="61CFABA4" w14:textId="77777777" w:rsidR="00F06E02" w:rsidRPr="00EA633B" w:rsidRDefault="00F06E02" w:rsidP="00F06E02">
            <w:pPr>
              <w:spacing w:before="0" w:after="0"/>
              <w:jc w:val="center"/>
            </w:pPr>
            <w:r w:rsidRPr="00EA633B">
              <w:t>201</w:t>
            </w:r>
            <w:r>
              <w:t>8</w:t>
            </w:r>
          </w:p>
        </w:tc>
      </w:tr>
      <w:tr w:rsidR="00F06E02" w:rsidRPr="00EA633B" w14:paraId="25A618F7" w14:textId="77777777" w:rsidTr="00F06E02">
        <w:trPr>
          <w:jc w:val="center"/>
        </w:trPr>
        <w:tc>
          <w:tcPr>
            <w:tcW w:w="4528" w:type="dxa"/>
          </w:tcPr>
          <w:p w14:paraId="3C90C41B" w14:textId="77777777" w:rsidR="00F06E02" w:rsidRPr="00EA633B" w:rsidRDefault="00F06E02" w:rsidP="00F06E02">
            <w:pPr>
              <w:spacing w:before="0" w:after="0"/>
            </w:pPr>
            <w:r w:rsidRPr="00EA633B">
              <w:t>Day Shift</w:t>
            </w:r>
          </w:p>
        </w:tc>
        <w:tc>
          <w:tcPr>
            <w:tcW w:w="900" w:type="dxa"/>
          </w:tcPr>
          <w:p w14:paraId="18C01D3F" w14:textId="77777777" w:rsidR="00F06E02" w:rsidRPr="00EA633B" w:rsidRDefault="00F06E02" w:rsidP="00F06E02">
            <w:pPr>
              <w:spacing w:before="0" w:after="0"/>
              <w:jc w:val="center"/>
            </w:pPr>
            <w:r>
              <w:t>0</w:t>
            </w:r>
          </w:p>
        </w:tc>
        <w:tc>
          <w:tcPr>
            <w:tcW w:w="1661" w:type="dxa"/>
          </w:tcPr>
          <w:p w14:paraId="1D2EC0C5" w14:textId="77777777" w:rsidR="00F06E02" w:rsidRPr="00EA633B" w:rsidRDefault="00F06E02" w:rsidP="00F06E02">
            <w:pPr>
              <w:spacing w:before="0" w:after="0"/>
              <w:jc w:val="center"/>
            </w:pPr>
            <w:r>
              <w:t>1</w:t>
            </w:r>
          </w:p>
        </w:tc>
      </w:tr>
      <w:tr w:rsidR="00F06E02" w:rsidRPr="00EA633B" w14:paraId="5A9150D1" w14:textId="77777777" w:rsidTr="00F06E02">
        <w:trPr>
          <w:jc w:val="center"/>
        </w:trPr>
        <w:tc>
          <w:tcPr>
            <w:tcW w:w="4528" w:type="dxa"/>
          </w:tcPr>
          <w:p w14:paraId="70187593" w14:textId="77777777" w:rsidR="00F06E02" w:rsidRPr="00EA633B" w:rsidRDefault="00F06E02" w:rsidP="00F06E02">
            <w:pPr>
              <w:spacing w:before="0" w:after="0"/>
            </w:pPr>
            <w:r w:rsidRPr="00EA633B">
              <w:t xml:space="preserve">Swing Shift </w:t>
            </w:r>
          </w:p>
        </w:tc>
        <w:tc>
          <w:tcPr>
            <w:tcW w:w="900" w:type="dxa"/>
          </w:tcPr>
          <w:p w14:paraId="75636AEE" w14:textId="77777777" w:rsidR="00F06E02" w:rsidRPr="00EA633B" w:rsidRDefault="00F06E02" w:rsidP="00F06E02">
            <w:pPr>
              <w:spacing w:before="0" w:after="0"/>
              <w:jc w:val="center"/>
            </w:pPr>
            <w:r>
              <w:t>1</w:t>
            </w:r>
          </w:p>
        </w:tc>
        <w:tc>
          <w:tcPr>
            <w:tcW w:w="1661" w:type="dxa"/>
          </w:tcPr>
          <w:p w14:paraId="020A2746" w14:textId="77777777" w:rsidR="00F06E02" w:rsidRPr="00EA633B" w:rsidRDefault="00F06E02" w:rsidP="00F06E02">
            <w:pPr>
              <w:spacing w:before="0" w:after="0"/>
              <w:jc w:val="center"/>
            </w:pPr>
            <w:r w:rsidRPr="00EA633B">
              <w:t>3</w:t>
            </w:r>
          </w:p>
        </w:tc>
      </w:tr>
      <w:tr w:rsidR="00F06E02" w:rsidRPr="00EA633B" w14:paraId="6E81EAE1" w14:textId="77777777" w:rsidTr="00F06E02">
        <w:trPr>
          <w:jc w:val="center"/>
        </w:trPr>
        <w:tc>
          <w:tcPr>
            <w:tcW w:w="4528" w:type="dxa"/>
            <w:tcBorders>
              <w:bottom w:val="single" w:sz="4" w:space="0" w:color="auto"/>
            </w:tcBorders>
          </w:tcPr>
          <w:p w14:paraId="13D63819" w14:textId="77777777" w:rsidR="00F06E02" w:rsidRDefault="00F06E02" w:rsidP="00F06E02">
            <w:pPr>
              <w:spacing w:before="0" w:after="0"/>
            </w:pPr>
            <w:r w:rsidRPr="00EA633B">
              <w:t>Graveyard Shift</w:t>
            </w:r>
          </w:p>
          <w:p w14:paraId="1C32DD38" w14:textId="77777777" w:rsidR="00F06E02" w:rsidRPr="00EA633B" w:rsidRDefault="00F06E02" w:rsidP="00F06E02">
            <w:pPr>
              <w:spacing w:before="0" w:after="0"/>
            </w:pPr>
            <w:r>
              <w:t>(including Swing Shift overlap)</w:t>
            </w:r>
          </w:p>
        </w:tc>
        <w:tc>
          <w:tcPr>
            <w:tcW w:w="900" w:type="dxa"/>
            <w:tcBorders>
              <w:bottom w:val="single" w:sz="4" w:space="0" w:color="auto"/>
            </w:tcBorders>
            <w:vAlign w:val="center"/>
          </w:tcPr>
          <w:p w14:paraId="665D616B" w14:textId="77777777" w:rsidR="00F06E02" w:rsidRPr="00EA633B" w:rsidRDefault="00F06E02" w:rsidP="00F06E02">
            <w:pPr>
              <w:spacing w:before="0" w:after="0"/>
              <w:jc w:val="center"/>
            </w:pPr>
            <w:r>
              <w:t>3</w:t>
            </w:r>
          </w:p>
        </w:tc>
        <w:tc>
          <w:tcPr>
            <w:tcW w:w="1661" w:type="dxa"/>
            <w:tcBorders>
              <w:bottom w:val="single" w:sz="4" w:space="0" w:color="auto"/>
            </w:tcBorders>
            <w:vAlign w:val="center"/>
          </w:tcPr>
          <w:p w14:paraId="276F28EE" w14:textId="77777777" w:rsidR="00F06E02" w:rsidRPr="00EA633B" w:rsidRDefault="00F06E02" w:rsidP="00F06E02">
            <w:pPr>
              <w:spacing w:before="0" w:after="0"/>
              <w:jc w:val="center"/>
            </w:pPr>
            <w:r>
              <w:t>8</w:t>
            </w:r>
          </w:p>
        </w:tc>
      </w:tr>
      <w:tr w:rsidR="00F06E02" w:rsidRPr="00EA633B" w14:paraId="075C1DFE" w14:textId="77777777" w:rsidTr="00F06E02">
        <w:trPr>
          <w:jc w:val="center"/>
        </w:trPr>
        <w:tc>
          <w:tcPr>
            <w:tcW w:w="4528" w:type="dxa"/>
            <w:shd w:val="clear" w:color="auto" w:fill="D9D9D9"/>
          </w:tcPr>
          <w:p w14:paraId="091CB154" w14:textId="77777777" w:rsidR="00F06E02" w:rsidRPr="00EA633B" w:rsidRDefault="00F06E02" w:rsidP="00F06E02">
            <w:pPr>
              <w:spacing w:before="0" w:after="0"/>
              <w:rPr>
                <w:b/>
              </w:rPr>
            </w:pPr>
            <w:r w:rsidRPr="00EA633B">
              <w:rPr>
                <w:b/>
              </w:rPr>
              <w:t xml:space="preserve">       Total</w:t>
            </w:r>
          </w:p>
        </w:tc>
        <w:tc>
          <w:tcPr>
            <w:tcW w:w="900" w:type="dxa"/>
            <w:shd w:val="clear" w:color="auto" w:fill="D9D9D9"/>
          </w:tcPr>
          <w:p w14:paraId="2CCB9319" w14:textId="77777777" w:rsidR="00F06E02" w:rsidRPr="00EA633B" w:rsidRDefault="00F06E02" w:rsidP="00F06E02">
            <w:pPr>
              <w:spacing w:before="0" w:after="0"/>
              <w:jc w:val="center"/>
              <w:rPr>
                <w:b/>
              </w:rPr>
            </w:pPr>
            <w:r>
              <w:rPr>
                <w:b/>
              </w:rPr>
              <w:t>4</w:t>
            </w:r>
          </w:p>
        </w:tc>
        <w:tc>
          <w:tcPr>
            <w:tcW w:w="1661" w:type="dxa"/>
            <w:shd w:val="clear" w:color="auto" w:fill="D9D9D9"/>
          </w:tcPr>
          <w:p w14:paraId="18D6E6AC" w14:textId="77777777" w:rsidR="00F06E02" w:rsidRPr="00EA633B" w:rsidRDefault="00F06E02" w:rsidP="00F06E02">
            <w:pPr>
              <w:spacing w:before="0" w:after="0"/>
              <w:jc w:val="center"/>
              <w:rPr>
                <w:b/>
              </w:rPr>
            </w:pPr>
            <w:r>
              <w:rPr>
                <w:b/>
              </w:rPr>
              <w:t>12</w:t>
            </w:r>
          </w:p>
        </w:tc>
      </w:tr>
    </w:tbl>
    <w:p w14:paraId="73F75404" w14:textId="77777777" w:rsidR="00F06E02" w:rsidRDefault="00F06E02" w:rsidP="00F06E02">
      <w:pPr>
        <w:autoSpaceDE w:val="0"/>
        <w:autoSpaceDN w:val="0"/>
        <w:rPr>
          <w:rFonts w:eastAsia="Arial Unicode MS"/>
          <w:bCs/>
        </w:rPr>
      </w:pPr>
    </w:p>
    <w:p w14:paraId="5024FEF7" w14:textId="549185E2" w:rsidR="00F06E02" w:rsidRPr="002257AF" w:rsidRDefault="00F06E02" w:rsidP="00F06E02">
      <w:pPr>
        <w:jc w:val="both"/>
        <w:rPr>
          <w:b/>
          <w:bCs/>
        </w:rPr>
      </w:pPr>
      <w:r w:rsidRPr="002257AF">
        <w:rPr>
          <w:b/>
          <w:bCs/>
        </w:rPr>
        <w:t xml:space="preserve">Annual Review of the Department’s Vehicle Pursuit </w:t>
      </w:r>
      <w:r w:rsidR="002C0C1A">
        <w:rPr>
          <w:b/>
          <w:bCs/>
        </w:rPr>
        <w:t>Policies and Reporting P</w:t>
      </w:r>
      <w:r w:rsidRPr="002257AF">
        <w:rPr>
          <w:b/>
          <w:bCs/>
        </w:rPr>
        <w:t>rocedures (</w:t>
      </w:r>
      <w:r w:rsidR="002C0C1A">
        <w:rPr>
          <w:b/>
          <w:bCs/>
        </w:rPr>
        <w:t xml:space="preserve">CALEA </w:t>
      </w:r>
      <w:r w:rsidRPr="002257AF">
        <w:rPr>
          <w:b/>
          <w:bCs/>
        </w:rPr>
        <w:t>41.2.2)</w:t>
      </w:r>
    </w:p>
    <w:p w14:paraId="207D16C6" w14:textId="77777777" w:rsidR="00F06E02" w:rsidRPr="00503F1E" w:rsidRDefault="00F06E02" w:rsidP="00F06E02">
      <w:pPr>
        <w:jc w:val="both"/>
      </w:pPr>
      <w:r w:rsidRPr="002257AF">
        <w:t>During the annual review of all vehicle pursuits, the Department’s current policies and procedures were reviewed to include the reporting procedures.  At this time the Department is in compliance and we have reviewed our pursuit policy and reporting procedures.  All annual training needs have been addressed.  There is no need to make changes at this time.</w:t>
      </w:r>
    </w:p>
    <w:p w14:paraId="79DF7D8C" w14:textId="77777777" w:rsidR="00F06E02" w:rsidRPr="00EA633B" w:rsidRDefault="00F06E02" w:rsidP="00F06E02">
      <w:pPr>
        <w:jc w:val="both"/>
      </w:pPr>
    </w:p>
    <w:p w14:paraId="1C20957E" w14:textId="77777777" w:rsidR="00F06E02" w:rsidRPr="00EA633B" w:rsidRDefault="00F06E02" w:rsidP="00F06E02">
      <w:pPr>
        <w:autoSpaceDE w:val="0"/>
        <w:autoSpaceDN w:val="0"/>
        <w:rPr>
          <w:rFonts w:eastAsia="Arial Unicode MS"/>
          <w:b/>
          <w:bCs/>
        </w:rPr>
      </w:pPr>
      <w:r w:rsidRPr="00EA633B">
        <w:rPr>
          <w:rFonts w:eastAsia="Arial Unicode MS"/>
          <w:b/>
          <w:bCs/>
          <w:u w:val="single"/>
        </w:rPr>
        <w:t>RECOMMENDATIONS</w:t>
      </w:r>
    </w:p>
    <w:p w14:paraId="2913BBF2" w14:textId="63AD57CD" w:rsidR="00F06E02" w:rsidRDefault="00F06E02" w:rsidP="002C0C1A">
      <w:pPr>
        <w:jc w:val="both"/>
      </w:pPr>
      <w:r w:rsidRPr="00EA633B">
        <w:rPr>
          <w:rFonts w:eastAsia="Arial Unicode MS"/>
          <w:bCs/>
        </w:rPr>
        <w:t>In 201</w:t>
      </w:r>
      <w:r>
        <w:rPr>
          <w:rFonts w:eastAsia="Arial Unicode MS"/>
          <w:bCs/>
        </w:rPr>
        <w:t>8</w:t>
      </w:r>
      <w:r w:rsidRPr="00EA633B">
        <w:rPr>
          <w:rFonts w:eastAsia="Arial Unicode MS"/>
          <w:bCs/>
        </w:rPr>
        <w:t xml:space="preserve">, the </w:t>
      </w:r>
      <w:r>
        <w:rPr>
          <w:rFonts w:eastAsia="Arial Unicode MS"/>
          <w:bCs/>
        </w:rPr>
        <w:t>D</w:t>
      </w:r>
      <w:r w:rsidRPr="00EA633B">
        <w:rPr>
          <w:rFonts w:eastAsia="Arial Unicode MS"/>
          <w:bCs/>
        </w:rPr>
        <w:t xml:space="preserve">epartment </w:t>
      </w:r>
      <w:r>
        <w:rPr>
          <w:rFonts w:eastAsia="Arial Unicode MS"/>
          <w:bCs/>
        </w:rPr>
        <w:t xml:space="preserve">continued to provide departmental training that is required per CALEA.  The </w:t>
      </w:r>
      <w:r w:rsidR="00F17030">
        <w:rPr>
          <w:rFonts w:eastAsia="Arial Unicode MS"/>
          <w:bCs/>
        </w:rPr>
        <w:t>D</w:t>
      </w:r>
      <w:r>
        <w:rPr>
          <w:rFonts w:eastAsia="Arial Unicode MS"/>
          <w:bCs/>
        </w:rPr>
        <w:t xml:space="preserve">epartment also provided Driver Training (EVOC) in </w:t>
      </w:r>
      <w:r w:rsidRPr="00D6206D">
        <w:t>collision avoidance and backing for the</w:t>
      </w:r>
      <w:r w:rsidR="005E7225">
        <w:t xml:space="preserve"> </w:t>
      </w:r>
      <w:r w:rsidR="005E7225" w:rsidRPr="002C0C1A">
        <w:t>a</w:t>
      </w:r>
      <w:r w:rsidR="00702A1F" w:rsidRPr="002C0C1A">
        <w:t>dministrati</w:t>
      </w:r>
      <w:r w:rsidR="005E7225" w:rsidRPr="002C0C1A">
        <w:t>on</w:t>
      </w:r>
      <w:r w:rsidR="00702A1F" w:rsidRPr="002C0C1A">
        <w:t xml:space="preserve"> and Investigations Bureau</w:t>
      </w:r>
      <w:r w:rsidRPr="002C0C1A">
        <w:t>.</w:t>
      </w:r>
      <w:r>
        <w:t xml:space="preserve">  The </w:t>
      </w:r>
      <w:r w:rsidR="00F17030">
        <w:t>D</w:t>
      </w:r>
      <w:r>
        <w:t xml:space="preserve">epartment will be providing PIT training to Operations personnel. </w:t>
      </w:r>
      <w:r w:rsidR="00F17030">
        <w:t xml:space="preserve"> </w:t>
      </w:r>
      <w:r>
        <w:t xml:space="preserve">The </w:t>
      </w:r>
      <w:r w:rsidR="00F17030">
        <w:t>D</w:t>
      </w:r>
      <w:r>
        <w:t xml:space="preserve">epartment will continue to monitor accidents involving on-duty police employees and address the current hazards of driving police vehicles. </w:t>
      </w:r>
      <w:r w:rsidR="00F17030">
        <w:t xml:space="preserve"> </w:t>
      </w:r>
      <w:r>
        <w:t xml:space="preserve">The </w:t>
      </w:r>
      <w:r w:rsidR="00F17030">
        <w:t>D</w:t>
      </w:r>
      <w:r>
        <w:t>epartment must continue to monitor why the increase of pursuits are taking place and why more take place on the graveyard shift.</w:t>
      </w:r>
    </w:p>
    <w:p w14:paraId="0441B76A" w14:textId="6EDF8AC2" w:rsidR="005E7225" w:rsidRDefault="005E7225" w:rsidP="002C0C1A">
      <w:pPr>
        <w:jc w:val="both"/>
      </w:pPr>
    </w:p>
    <w:p w14:paraId="10DB2B64" w14:textId="111B144B" w:rsidR="005E7225" w:rsidRPr="00D6206D" w:rsidRDefault="005E7225" w:rsidP="00F06E02">
      <w:pPr>
        <w:rPr>
          <w:sz w:val="22"/>
          <w:szCs w:val="22"/>
        </w:rPr>
      </w:pPr>
      <w:r>
        <w:t>DJ:man</w:t>
      </w:r>
    </w:p>
    <w:sectPr w:rsidR="005E7225" w:rsidRPr="00D6206D" w:rsidSect="00357CD0">
      <w:headerReference w:type="default" r:id="rId12"/>
      <w:footerReference w:type="default" r:id="rId13"/>
      <w:headerReference w:type="first" r:id="rId14"/>
      <w:footerReference w:type="first" r:id="rId15"/>
      <w:pgSz w:w="12240" w:h="15840" w:code="1"/>
      <w:pgMar w:top="1440" w:right="994" w:bottom="720" w:left="1152" w:header="720" w:footer="360" w:gutter="0"/>
      <w:cols w:space="720"/>
      <w:noEndnote/>
      <w:docGrid w:linePitch="27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1DFD17" w16cid:durableId="200BF8B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02830" w14:textId="77777777" w:rsidR="0068755B" w:rsidRDefault="0068755B">
      <w:r>
        <w:separator/>
      </w:r>
    </w:p>
  </w:endnote>
  <w:endnote w:type="continuationSeparator" w:id="0">
    <w:p w14:paraId="380C4504" w14:textId="77777777" w:rsidR="0068755B" w:rsidRDefault="00687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F5528" w14:textId="77777777" w:rsidR="00430652" w:rsidRDefault="00430652" w:rsidP="00560DC1">
    <w:pPr>
      <w:jc w:val="center"/>
      <w:rPr>
        <w:rStyle w:val="Emphasis"/>
        <w:sz w:val="18"/>
        <w:szCs w:val="18"/>
      </w:rPr>
    </w:pPr>
    <w:r>
      <w:rPr>
        <w:rStyle w:val="Emphasis"/>
        <w:sz w:val="18"/>
        <w:szCs w:val="18"/>
      </w:rPr>
      <w:t>“</w:t>
    </w:r>
    <w:r w:rsidRPr="00CE6C39">
      <w:rPr>
        <w:rStyle w:val="Emphasis"/>
        <w:sz w:val="18"/>
        <w:szCs w:val="18"/>
      </w:rPr>
      <w:t>To create a safe and secure environment in which to live, work, and visit by working together with the community, enforcing the law in a fair and impartial manner, preserving the peace and order in our neighborhoods, and safeguarding our constitutional guarantees.</w:t>
    </w:r>
    <w:r>
      <w:rPr>
        <w:rStyle w:val="Emphasis"/>
        <w:sz w:val="18"/>
        <w:szCs w:val="18"/>
      </w:rPr>
      <w:t>”</w:t>
    </w:r>
  </w:p>
  <w:p w14:paraId="73E2BE8A" w14:textId="076573CF" w:rsidR="00430652" w:rsidRPr="00560DC1" w:rsidRDefault="00430652" w:rsidP="00F17030">
    <w:pPr>
      <w:pBdr>
        <w:top w:val="single" w:sz="4" w:space="1" w:color="auto"/>
      </w:pBdr>
      <w:tabs>
        <w:tab w:val="left" w:pos="2250"/>
        <w:tab w:val="left" w:pos="5400"/>
        <w:tab w:val="left" w:pos="9360"/>
      </w:tabs>
      <w:spacing w:before="0" w:after="0"/>
      <w:ind w:right="-162"/>
      <w:rPr>
        <w:iCs/>
        <w:sz w:val="18"/>
        <w:szCs w:val="18"/>
      </w:rPr>
    </w:pPr>
    <w:r>
      <w:rPr>
        <w:rStyle w:val="Emphasis"/>
        <w:i w:val="0"/>
        <w:sz w:val="18"/>
        <w:szCs w:val="18"/>
      </w:rPr>
      <w:t xml:space="preserve">ASB #:  </w:t>
    </w:r>
    <w:r w:rsidR="00F17030">
      <w:rPr>
        <w:rStyle w:val="Emphasis"/>
        <w:i w:val="0"/>
        <w:sz w:val="18"/>
        <w:szCs w:val="18"/>
      </w:rPr>
      <w:t>19-006</w:t>
    </w:r>
    <w:r>
      <w:rPr>
        <w:rStyle w:val="Emphasis"/>
        <w:i w:val="0"/>
        <w:sz w:val="18"/>
        <w:szCs w:val="18"/>
      </w:rPr>
      <w:tab/>
      <w:t xml:space="preserve">Date:  </w:t>
    </w:r>
    <w:r w:rsidR="00F17030">
      <w:rPr>
        <w:rStyle w:val="Emphasis"/>
        <w:i w:val="0"/>
        <w:sz w:val="18"/>
        <w:szCs w:val="18"/>
      </w:rPr>
      <w:t>February 11, 2019</w:t>
    </w:r>
    <w:r>
      <w:rPr>
        <w:rStyle w:val="Emphasis"/>
        <w:i w:val="0"/>
        <w:sz w:val="18"/>
        <w:szCs w:val="18"/>
      </w:rPr>
      <w:tab/>
    </w:r>
    <w:r w:rsidRPr="00606682">
      <w:rPr>
        <w:rStyle w:val="Emphasis"/>
        <w:i w:val="0"/>
        <w:sz w:val="18"/>
        <w:szCs w:val="18"/>
      </w:rPr>
      <w:t>Subject:</w:t>
    </w:r>
    <w:r>
      <w:rPr>
        <w:rStyle w:val="Emphasis"/>
        <w:i w:val="0"/>
        <w:sz w:val="18"/>
        <w:szCs w:val="18"/>
      </w:rPr>
      <w:t xml:space="preserve">  </w:t>
    </w:r>
    <w:r w:rsidR="00F17030">
      <w:rPr>
        <w:rStyle w:val="Emphasis"/>
        <w:i w:val="0"/>
        <w:sz w:val="18"/>
        <w:szCs w:val="18"/>
      </w:rPr>
      <w:t>2018 Pursuit Analysis Report</w:t>
    </w:r>
    <w:r>
      <w:rPr>
        <w:rStyle w:val="Emphasis"/>
        <w:i w:val="0"/>
        <w:sz w:val="18"/>
        <w:szCs w:val="18"/>
      </w:rPr>
      <w:tab/>
    </w:r>
    <w:r w:rsidRPr="00606682">
      <w:rPr>
        <w:rStyle w:val="Emphasis"/>
        <w:i w:val="0"/>
        <w:sz w:val="18"/>
        <w:szCs w:val="18"/>
      </w:rPr>
      <w:t xml:space="preserve">Page </w:t>
    </w:r>
    <w:r w:rsidRPr="00606682">
      <w:rPr>
        <w:rStyle w:val="PageNumber"/>
        <w:sz w:val="18"/>
        <w:szCs w:val="18"/>
      </w:rPr>
      <w:fldChar w:fldCharType="begin"/>
    </w:r>
    <w:r w:rsidRPr="00606682">
      <w:rPr>
        <w:rStyle w:val="PageNumber"/>
        <w:sz w:val="18"/>
        <w:szCs w:val="18"/>
      </w:rPr>
      <w:instrText xml:space="preserve"> PAGE </w:instrText>
    </w:r>
    <w:r w:rsidRPr="00606682">
      <w:rPr>
        <w:rStyle w:val="PageNumber"/>
        <w:sz w:val="18"/>
        <w:szCs w:val="18"/>
      </w:rPr>
      <w:fldChar w:fldCharType="separate"/>
    </w:r>
    <w:r w:rsidR="007676DB">
      <w:rPr>
        <w:rStyle w:val="PageNumber"/>
        <w:noProof/>
        <w:sz w:val="18"/>
        <w:szCs w:val="18"/>
      </w:rPr>
      <w:t>2</w:t>
    </w:r>
    <w:r w:rsidRPr="00606682">
      <w:rPr>
        <w:rStyle w:val="PageNumber"/>
        <w:sz w:val="18"/>
        <w:szCs w:val="18"/>
      </w:rPr>
      <w:fldChar w:fldCharType="end"/>
    </w:r>
    <w:r w:rsidRPr="00606682">
      <w:rPr>
        <w:rStyle w:val="PageNumber"/>
        <w:sz w:val="18"/>
        <w:szCs w:val="18"/>
      </w:rPr>
      <w:t xml:space="preserve"> of </w:t>
    </w:r>
    <w:r w:rsidRPr="00606682">
      <w:rPr>
        <w:rStyle w:val="PageNumber"/>
        <w:sz w:val="18"/>
        <w:szCs w:val="18"/>
      </w:rPr>
      <w:fldChar w:fldCharType="begin"/>
    </w:r>
    <w:r w:rsidRPr="00606682">
      <w:rPr>
        <w:rStyle w:val="PageNumber"/>
        <w:sz w:val="18"/>
        <w:szCs w:val="18"/>
      </w:rPr>
      <w:instrText xml:space="preserve"> NUMPAGES </w:instrText>
    </w:r>
    <w:r w:rsidRPr="00606682">
      <w:rPr>
        <w:rStyle w:val="PageNumber"/>
        <w:sz w:val="18"/>
        <w:szCs w:val="18"/>
      </w:rPr>
      <w:fldChar w:fldCharType="separate"/>
    </w:r>
    <w:r w:rsidR="007676DB">
      <w:rPr>
        <w:rStyle w:val="PageNumber"/>
        <w:noProof/>
        <w:sz w:val="18"/>
        <w:szCs w:val="18"/>
      </w:rPr>
      <w:t>4</w:t>
    </w:r>
    <w:r w:rsidRPr="00606682">
      <w:rPr>
        <w:rStyle w:val="PageNumbe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3549B" w14:textId="77777777" w:rsidR="00430652" w:rsidRDefault="00430652">
    <w:pPr>
      <w:jc w:val="center"/>
      <w:rPr>
        <w:rStyle w:val="Emphasis"/>
        <w:sz w:val="18"/>
        <w:szCs w:val="18"/>
      </w:rPr>
    </w:pPr>
    <w:r>
      <w:rPr>
        <w:rStyle w:val="Emphasis"/>
        <w:sz w:val="18"/>
        <w:szCs w:val="18"/>
      </w:rPr>
      <w:t>“</w:t>
    </w:r>
    <w:r w:rsidRPr="00CE6C39">
      <w:rPr>
        <w:rStyle w:val="Emphasis"/>
        <w:sz w:val="18"/>
        <w:szCs w:val="18"/>
      </w:rPr>
      <w:t>To create a safe and secure environment in which to live, work, and visit by working together with the community, enforcing the law in a fair and impartial manner, preserving the peace and order in our neighborhoods, and safeguarding our constitutional guarantees.</w:t>
    </w:r>
    <w:r>
      <w:rPr>
        <w:rStyle w:val="Emphasis"/>
        <w:sz w:val="18"/>
        <w:szCs w:val="18"/>
      </w:rPr>
      <w:t>”</w:t>
    </w:r>
  </w:p>
  <w:p w14:paraId="4AD1AEB3" w14:textId="32C2C9E7" w:rsidR="00430652" w:rsidRPr="00606682" w:rsidRDefault="00430652" w:rsidP="005B71DB">
    <w:pPr>
      <w:pBdr>
        <w:top w:val="single" w:sz="4" w:space="1" w:color="auto"/>
      </w:pBdr>
      <w:spacing w:before="0" w:after="0"/>
      <w:ind w:right="-162"/>
      <w:rPr>
        <w:rStyle w:val="Emphasis"/>
        <w:i w:val="0"/>
        <w:sz w:val="18"/>
        <w:szCs w:val="18"/>
      </w:rPr>
    </w:pPr>
    <w:r>
      <w:rPr>
        <w:rStyle w:val="Emphasis"/>
        <w:i w:val="0"/>
        <w:sz w:val="18"/>
        <w:szCs w:val="18"/>
      </w:rPr>
      <w:t>DM 12</w:t>
    </w:r>
    <w:r w:rsidRPr="00606682">
      <w:rPr>
        <w:rStyle w:val="Emphasis"/>
        <w:i w:val="0"/>
        <w:sz w:val="18"/>
        <w:szCs w:val="18"/>
      </w:rPr>
      <w:t>-</w:t>
    </w:r>
    <w:r>
      <w:rPr>
        <w:rStyle w:val="Emphasis"/>
        <w:i w:val="0"/>
        <w:sz w:val="18"/>
        <w:szCs w:val="18"/>
      </w:rPr>
      <w:tab/>
    </w:r>
    <w:r w:rsidRPr="00606682">
      <w:rPr>
        <w:rStyle w:val="Emphasis"/>
        <w:i w:val="0"/>
        <w:sz w:val="18"/>
        <w:szCs w:val="18"/>
      </w:rPr>
      <w:t xml:space="preserve"> </w:t>
    </w:r>
    <w:r>
      <w:rPr>
        <w:rStyle w:val="Emphasis"/>
        <w:i w:val="0"/>
        <w:sz w:val="18"/>
        <w:szCs w:val="18"/>
      </w:rPr>
      <w:t>Date:  , 2012</w:t>
    </w:r>
    <w:r>
      <w:rPr>
        <w:rStyle w:val="Emphasis"/>
        <w:i w:val="0"/>
        <w:sz w:val="18"/>
        <w:szCs w:val="18"/>
      </w:rPr>
      <w:tab/>
    </w:r>
    <w:r w:rsidRPr="00606682">
      <w:rPr>
        <w:rStyle w:val="Emphasis"/>
        <w:i w:val="0"/>
        <w:sz w:val="18"/>
        <w:szCs w:val="18"/>
      </w:rPr>
      <w:t>Subject:</w:t>
    </w:r>
    <w:r>
      <w:rPr>
        <w:rStyle w:val="Emphasis"/>
        <w:i w:val="0"/>
        <w:sz w:val="18"/>
        <w:szCs w:val="18"/>
      </w:rPr>
      <w:tab/>
      <w:t>X</w:t>
    </w:r>
    <w:r>
      <w:rPr>
        <w:rStyle w:val="Emphasis"/>
        <w:i w:val="0"/>
        <w:sz w:val="18"/>
        <w:szCs w:val="18"/>
      </w:rPr>
      <w:tab/>
    </w:r>
    <w:r>
      <w:rPr>
        <w:rStyle w:val="Emphasis"/>
        <w:i w:val="0"/>
        <w:sz w:val="18"/>
        <w:szCs w:val="18"/>
      </w:rPr>
      <w:tab/>
    </w:r>
    <w:r w:rsidRPr="00606682">
      <w:rPr>
        <w:rStyle w:val="Emphasis"/>
        <w:i w:val="0"/>
        <w:sz w:val="18"/>
        <w:szCs w:val="18"/>
      </w:rPr>
      <w:t xml:space="preserve">Page </w:t>
    </w:r>
    <w:r w:rsidRPr="00606682">
      <w:rPr>
        <w:rStyle w:val="PageNumber"/>
        <w:sz w:val="18"/>
        <w:szCs w:val="18"/>
      </w:rPr>
      <w:fldChar w:fldCharType="begin"/>
    </w:r>
    <w:r w:rsidRPr="00606682">
      <w:rPr>
        <w:rStyle w:val="PageNumber"/>
        <w:sz w:val="18"/>
        <w:szCs w:val="18"/>
      </w:rPr>
      <w:instrText xml:space="preserve"> PAGE </w:instrText>
    </w:r>
    <w:r w:rsidRPr="00606682">
      <w:rPr>
        <w:rStyle w:val="PageNumber"/>
        <w:sz w:val="18"/>
        <w:szCs w:val="18"/>
      </w:rPr>
      <w:fldChar w:fldCharType="separate"/>
    </w:r>
    <w:r>
      <w:rPr>
        <w:rStyle w:val="PageNumber"/>
        <w:noProof/>
        <w:sz w:val="18"/>
        <w:szCs w:val="18"/>
      </w:rPr>
      <w:t>1</w:t>
    </w:r>
    <w:r w:rsidRPr="00606682">
      <w:rPr>
        <w:rStyle w:val="PageNumber"/>
        <w:sz w:val="18"/>
        <w:szCs w:val="18"/>
      </w:rPr>
      <w:fldChar w:fldCharType="end"/>
    </w:r>
    <w:r w:rsidRPr="00606682">
      <w:rPr>
        <w:rStyle w:val="PageNumber"/>
        <w:sz w:val="18"/>
        <w:szCs w:val="18"/>
      </w:rPr>
      <w:t xml:space="preserve"> of </w:t>
    </w:r>
    <w:r w:rsidRPr="00606682">
      <w:rPr>
        <w:rStyle w:val="PageNumber"/>
        <w:sz w:val="18"/>
        <w:szCs w:val="18"/>
      </w:rPr>
      <w:fldChar w:fldCharType="begin"/>
    </w:r>
    <w:r w:rsidRPr="00606682">
      <w:rPr>
        <w:rStyle w:val="PageNumber"/>
        <w:sz w:val="18"/>
        <w:szCs w:val="18"/>
      </w:rPr>
      <w:instrText xml:space="preserve"> NUMPAGES </w:instrText>
    </w:r>
    <w:r w:rsidRPr="00606682">
      <w:rPr>
        <w:rStyle w:val="PageNumber"/>
        <w:sz w:val="18"/>
        <w:szCs w:val="18"/>
      </w:rPr>
      <w:fldChar w:fldCharType="separate"/>
    </w:r>
    <w:r w:rsidR="007676DB">
      <w:rPr>
        <w:rStyle w:val="PageNumber"/>
        <w:noProof/>
        <w:sz w:val="18"/>
        <w:szCs w:val="18"/>
      </w:rPr>
      <w:t>4</w:t>
    </w:r>
    <w:r w:rsidRPr="00606682">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3CD5D" w14:textId="77777777" w:rsidR="0068755B" w:rsidRDefault="0068755B">
      <w:r>
        <w:separator/>
      </w:r>
    </w:p>
  </w:footnote>
  <w:footnote w:type="continuationSeparator" w:id="0">
    <w:p w14:paraId="08B7CF4D" w14:textId="77777777" w:rsidR="0068755B" w:rsidRDefault="006875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C31FF" w14:textId="77777777" w:rsidR="00430652" w:rsidRDefault="00430652">
    <w:pPr>
      <w:pStyle w:val="Header"/>
      <w:jc w:val="center"/>
    </w:pPr>
  </w:p>
  <w:p w14:paraId="68F6D17C" w14:textId="77777777" w:rsidR="00430652" w:rsidRDefault="00430652">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EC5FF" w14:textId="77777777" w:rsidR="00430652" w:rsidRDefault="00430652">
    <w:pPr>
      <w:pStyle w:val="Header"/>
      <w:spacing w:after="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3157"/>
    <w:multiLevelType w:val="hybridMultilevel"/>
    <w:tmpl w:val="3A6458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5A63AC0"/>
    <w:multiLevelType w:val="hybridMultilevel"/>
    <w:tmpl w:val="35CC49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7F5137D"/>
    <w:multiLevelType w:val="hybridMultilevel"/>
    <w:tmpl w:val="09BE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60121"/>
    <w:multiLevelType w:val="hybridMultilevel"/>
    <w:tmpl w:val="0C92B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04C92"/>
    <w:multiLevelType w:val="hybridMultilevel"/>
    <w:tmpl w:val="77DE25D0"/>
    <w:lvl w:ilvl="0" w:tplc="D528174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E056B6"/>
    <w:multiLevelType w:val="hybridMultilevel"/>
    <w:tmpl w:val="72BAAAE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34A4E12"/>
    <w:multiLevelType w:val="hybridMultilevel"/>
    <w:tmpl w:val="BDE20FA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A23132A"/>
    <w:multiLevelType w:val="hybridMultilevel"/>
    <w:tmpl w:val="CB14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2D3FC1"/>
    <w:multiLevelType w:val="hybridMultilevel"/>
    <w:tmpl w:val="220EE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7"/>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698F"/>
    <w:rsid w:val="00015D6A"/>
    <w:rsid w:val="00030AF2"/>
    <w:rsid w:val="00066959"/>
    <w:rsid w:val="00075BD5"/>
    <w:rsid w:val="000808C4"/>
    <w:rsid w:val="000974C2"/>
    <w:rsid w:val="000C4046"/>
    <w:rsid w:val="000E131C"/>
    <w:rsid w:val="000E44FD"/>
    <w:rsid w:val="00134FAF"/>
    <w:rsid w:val="001430F4"/>
    <w:rsid w:val="00162D94"/>
    <w:rsid w:val="0016494C"/>
    <w:rsid w:val="00171F74"/>
    <w:rsid w:val="00177ED6"/>
    <w:rsid w:val="00180364"/>
    <w:rsid w:val="001A100F"/>
    <w:rsid w:val="001B1215"/>
    <w:rsid w:val="001C6D13"/>
    <w:rsid w:val="001D40C4"/>
    <w:rsid w:val="002039B2"/>
    <w:rsid w:val="00204DFE"/>
    <w:rsid w:val="0020597E"/>
    <w:rsid w:val="00213F92"/>
    <w:rsid w:val="002143DD"/>
    <w:rsid w:val="00217F74"/>
    <w:rsid w:val="00230CC1"/>
    <w:rsid w:val="00232AD3"/>
    <w:rsid w:val="00243804"/>
    <w:rsid w:val="00247FF5"/>
    <w:rsid w:val="00294B2E"/>
    <w:rsid w:val="002C0C1A"/>
    <w:rsid w:val="002D22D3"/>
    <w:rsid w:val="002D4F75"/>
    <w:rsid w:val="002D51EB"/>
    <w:rsid w:val="0031199B"/>
    <w:rsid w:val="00324A0F"/>
    <w:rsid w:val="0033240A"/>
    <w:rsid w:val="00334BEC"/>
    <w:rsid w:val="00335D81"/>
    <w:rsid w:val="00342023"/>
    <w:rsid w:val="003502CA"/>
    <w:rsid w:val="00352451"/>
    <w:rsid w:val="00357CD0"/>
    <w:rsid w:val="00375272"/>
    <w:rsid w:val="00375DD8"/>
    <w:rsid w:val="003C51B1"/>
    <w:rsid w:val="003C560B"/>
    <w:rsid w:val="003C7A12"/>
    <w:rsid w:val="003E1C64"/>
    <w:rsid w:val="003E466F"/>
    <w:rsid w:val="003F3DBB"/>
    <w:rsid w:val="00406837"/>
    <w:rsid w:val="0041663D"/>
    <w:rsid w:val="00430652"/>
    <w:rsid w:val="0043474A"/>
    <w:rsid w:val="00441EA7"/>
    <w:rsid w:val="00444FCF"/>
    <w:rsid w:val="00462D0B"/>
    <w:rsid w:val="00473B7E"/>
    <w:rsid w:val="004806ED"/>
    <w:rsid w:val="004A381E"/>
    <w:rsid w:val="004A437E"/>
    <w:rsid w:val="004D7379"/>
    <w:rsid w:val="00502589"/>
    <w:rsid w:val="00504AF1"/>
    <w:rsid w:val="00511D36"/>
    <w:rsid w:val="005222BC"/>
    <w:rsid w:val="00526540"/>
    <w:rsid w:val="00537064"/>
    <w:rsid w:val="00560DC1"/>
    <w:rsid w:val="005641C7"/>
    <w:rsid w:val="00577DA1"/>
    <w:rsid w:val="005B2D63"/>
    <w:rsid w:val="005B71DB"/>
    <w:rsid w:val="005B75A1"/>
    <w:rsid w:val="005C7C0A"/>
    <w:rsid w:val="005C7C4E"/>
    <w:rsid w:val="005D0F8A"/>
    <w:rsid w:val="005E7225"/>
    <w:rsid w:val="00606682"/>
    <w:rsid w:val="0061495D"/>
    <w:rsid w:val="00623935"/>
    <w:rsid w:val="00626849"/>
    <w:rsid w:val="00631D8B"/>
    <w:rsid w:val="00632B5B"/>
    <w:rsid w:val="00634E82"/>
    <w:rsid w:val="0063609D"/>
    <w:rsid w:val="00651BC5"/>
    <w:rsid w:val="00682C76"/>
    <w:rsid w:val="0068755B"/>
    <w:rsid w:val="006C1387"/>
    <w:rsid w:val="006E4DF0"/>
    <w:rsid w:val="006F4E73"/>
    <w:rsid w:val="00702A1F"/>
    <w:rsid w:val="007219E7"/>
    <w:rsid w:val="007521F1"/>
    <w:rsid w:val="007676DB"/>
    <w:rsid w:val="0078272E"/>
    <w:rsid w:val="0078794F"/>
    <w:rsid w:val="00792E46"/>
    <w:rsid w:val="007B71A5"/>
    <w:rsid w:val="007C032E"/>
    <w:rsid w:val="007C0C99"/>
    <w:rsid w:val="007D5F29"/>
    <w:rsid w:val="007D65C4"/>
    <w:rsid w:val="007E7D49"/>
    <w:rsid w:val="007F7810"/>
    <w:rsid w:val="00836776"/>
    <w:rsid w:val="008578BE"/>
    <w:rsid w:val="008A6E97"/>
    <w:rsid w:val="008C1A58"/>
    <w:rsid w:val="008C359D"/>
    <w:rsid w:val="008C4E3E"/>
    <w:rsid w:val="008F7F8D"/>
    <w:rsid w:val="00907E0E"/>
    <w:rsid w:val="00911BD2"/>
    <w:rsid w:val="00922686"/>
    <w:rsid w:val="00942E59"/>
    <w:rsid w:val="00950F3E"/>
    <w:rsid w:val="00952714"/>
    <w:rsid w:val="00977FC7"/>
    <w:rsid w:val="009905D9"/>
    <w:rsid w:val="00991108"/>
    <w:rsid w:val="00996627"/>
    <w:rsid w:val="009A2A36"/>
    <w:rsid w:val="009C62CB"/>
    <w:rsid w:val="009D4DAF"/>
    <w:rsid w:val="009D5F1F"/>
    <w:rsid w:val="00A02966"/>
    <w:rsid w:val="00A15733"/>
    <w:rsid w:val="00A16A85"/>
    <w:rsid w:val="00A338B9"/>
    <w:rsid w:val="00A616A6"/>
    <w:rsid w:val="00A72A4F"/>
    <w:rsid w:val="00A7303A"/>
    <w:rsid w:val="00A74648"/>
    <w:rsid w:val="00A85416"/>
    <w:rsid w:val="00B01733"/>
    <w:rsid w:val="00B30980"/>
    <w:rsid w:val="00B34ED9"/>
    <w:rsid w:val="00B37DB6"/>
    <w:rsid w:val="00B40A2B"/>
    <w:rsid w:val="00B40CC3"/>
    <w:rsid w:val="00B508AB"/>
    <w:rsid w:val="00B80EEC"/>
    <w:rsid w:val="00B830D1"/>
    <w:rsid w:val="00B93A91"/>
    <w:rsid w:val="00BA00AB"/>
    <w:rsid w:val="00BA0757"/>
    <w:rsid w:val="00C61768"/>
    <w:rsid w:val="00C8083D"/>
    <w:rsid w:val="00C84448"/>
    <w:rsid w:val="00CA02C2"/>
    <w:rsid w:val="00CA1AB9"/>
    <w:rsid w:val="00CD0B19"/>
    <w:rsid w:val="00CD329F"/>
    <w:rsid w:val="00CE32FD"/>
    <w:rsid w:val="00CE6C39"/>
    <w:rsid w:val="00CF13A2"/>
    <w:rsid w:val="00D31015"/>
    <w:rsid w:val="00D36113"/>
    <w:rsid w:val="00D609AA"/>
    <w:rsid w:val="00D744F3"/>
    <w:rsid w:val="00D957A2"/>
    <w:rsid w:val="00DC467C"/>
    <w:rsid w:val="00DD2EB9"/>
    <w:rsid w:val="00DD6DFA"/>
    <w:rsid w:val="00DE0B80"/>
    <w:rsid w:val="00DE32F2"/>
    <w:rsid w:val="00DF52B9"/>
    <w:rsid w:val="00E14159"/>
    <w:rsid w:val="00E25423"/>
    <w:rsid w:val="00E259BC"/>
    <w:rsid w:val="00E26BE1"/>
    <w:rsid w:val="00E3292D"/>
    <w:rsid w:val="00E407AF"/>
    <w:rsid w:val="00E55977"/>
    <w:rsid w:val="00E57973"/>
    <w:rsid w:val="00EB3305"/>
    <w:rsid w:val="00EB47DA"/>
    <w:rsid w:val="00EB5408"/>
    <w:rsid w:val="00EE19F4"/>
    <w:rsid w:val="00EF07AE"/>
    <w:rsid w:val="00EF41F7"/>
    <w:rsid w:val="00F06E02"/>
    <w:rsid w:val="00F17030"/>
    <w:rsid w:val="00F22C88"/>
    <w:rsid w:val="00F549CF"/>
    <w:rsid w:val="00F6698F"/>
    <w:rsid w:val="00F7200E"/>
    <w:rsid w:val="00F809DD"/>
    <w:rsid w:val="00F92A13"/>
    <w:rsid w:val="00FC342A"/>
    <w:rsid w:val="00FE0EE8"/>
    <w:rsid w:val="00FE175D"/>
    <w:rsid w:val="00FE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C8609C9"/>
  <w15:docId w15:val="{EBCB9931-E81C-43B5-8134-CB74A1F1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pPr>
    <w:rPr>
      <w:sz w:val="24"/>
      <w:szCs w:val="24"/>
    </w:rPr>
  </w:style>
  <w:style w:type="paragraph" w:styleId="Heading1">
    <w:name w:val="heading 1"/>
    <w:basedOn w:val="Normal"/>
    <w:next w:val="Normal"/>
    <w:qFormat/>
    <w:pPr>
      <w:spacing w:before="180" w:after="0"/>
      <w:outlineLvl w:val="0"/>
    </w:pPr>
    <w:rPr>
      <w:b/>
    </w:rPr>
  </w:style>
  <w:style w:type="paragraph" w:styleId="Heading2">
    <w:name w:val="heading 2"/>
    <w:basedOn w:val="Heading1"/>
    <w:next w:val="Normal"/>
    <w:qFormat/>
    <w:pPr>
      <w:spacing w:before="120"/>
      <w:outlineLvl w:val="1"/>
    </w:pPr>
    <w:rPr>
      <w:sz w:val="22"/>
    </w:rPr>
  </w:style>
  <w:style w:type="paragraph" w:styleId="Heading3">
    <w:name w:val="heading 3"/>
    <w:basedOn w:val="Heading2"/>
    <w:next w:val="Normal"/>
    <w:qFormat/>
    <w:pPr>
      <w:outlineLvl w:val="2"/>
    </w:pPr>
    <w:rPr>
      <w:sz w:val="20"/>
    </w:rPr>
  </w:style>
  <w:style w:type="paragraph" w:styleId="Heading4">
    <w:name w:val="heading 4"/>
    <w:basedOn w:val="Normal"/>
    <w:next w:val="Normal"/>
    <w:qFormat/>
    <w:pPr>
      <w:keepNex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 w:val="right" w:pos="9000"/>
      </w:tabs>
      <w:spacing w:before="0" w:after="0"/>
    </w:pPr>
  </w:style>
  <w:style w:type="character" w:styleId="FootnoteReference">
    <w:name w:val="footnote reference"/>
    <w:semiHidden/>
    <w:rPr>
      <w:position w:val="6"/>
      <w:sz w:val="16"/>
    </w:rPr>
  </w:style>
  <w:style w:type="paragraph" w:styleId="FootnoteText">
    <w:name w:val="footnote text"/>
    <w:basedOn w:val="Normal"/>
    <w:semiHidden/>
    <w:pPr>
      <w:ind w:left="360" w:hanging="360"/>
    </w:pPr>
  </w:style>
  <w:style w:type="paragraph" w:styleId="NormalIndent">
    <w:name w:val="Normal Indent"/>
    <w:basedOn w:val="Normal"/>
    <w:pPr>
      <w:ind w:left="720"/>
    </w:pPr>
  </w:style>
  <w:style w:type="paragraph" w:customStyle="1" w:styleId="SubList">
    <w:name w:val="SubList"/>
    <w:basedOn w:val="List"/>
    <w:pPr>
      <w:ind w:left="1440"/>
    </w:pPr>
  </w:style>
  <w:style w:type="paragraph" w:styleId="List">
    <w:name w:val="List"/>
    <w:basedOn w:val="Normal"/>
    <w:pPr>
      <w:ind w:left="720" w:hanging="360"/>
    </w:pPr>
  </w:style>
  <w:style w:type="paragraph" w:customStyle="1" w:styleId="Subject">
    <w:name w:val="Subject"/>
    <w:basedOn w:val="Normal"/>
  </w:style>
  <w:style w:type="paragraph" w:styleId="Date">
    <w:name w:val="Date"/>
    <w:basedOn w:val="Normal"/>
  </w:style>
  <w:style w:type="paragraph" w:customStyle="1" w:styleId="To">
    <w:name w:val="To"/>
    <w:basedOn w:val="Normal"/>
  </w:style>
  <w:style w:type="paragraph" w:customStyle="1" w:styleId="From">
    <w:name w:val="From"/>
    <w:basedOn w:val="Normal"/>
  </w:style>
  <w:style w:type="paragraph" w:styleId="Title">
    <w:name w:val="Title"/>
    <w:basedOn w:val="Heading1"/>
    <w:qFormat/>
    <w:pPr>
      <w:spacing w:before="0"/>
      <w:outlineLvl w:val="9"/>
    </w:pPr>
  </w:style>
  <w:style w:type="paragraph" w:customStyle="1" w:styleId="Closed">
    <w:name w:val="Closed"/>
    <w:basedOn w:val="Normal"/>
    <w:pPr>
      <w:spacing w:before="0" w:after="0"/>
    </w:pPr>
  </w:style>
  <w:style w:type="paragraph" w:customStyle="1" w:styleId="CopyList">
    <w:name w:val="CopyList"/>
    <w:basedOn w:val="Normal"/>
    <w:pPr>
      <w:tabs>
        <w:tab w:val="left" w:pos="504"/>
      </w:tabs>
      <w:spacing w:before="360" w:after="0"/>
      <w:ind w:left="504" w:hanging="504"/>
    </w:pPr>
  </w:style>
  <w:style w:type="paragraph" w:styleId="BodyText">
    <w:name w:val="Body Text"/>
    <w:basedOn w:val="Normal"/>
    <w:rPr>
      <w:rFonts w:ascii="Courier" w:hAnsi="Courier"/>
    </w:rPr>
  </w:style>
  <w:style w:type="paragraph" w:styleId="Footer">
    <w:name w:val="footer"/>
    <w:basedOn w:val="Normal"/>
    <w:pPr>
      <w:tabs>
        <w:tab w:val="center" w:pos="4320"/>
        <w:tab w:val="right" w:pos="8640"/>
      </w:tabs>
    </w:p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paragraph" w:styleId="BodyText2">
    <w:name w:val="Body Text 2"/>
    <w:basedOn w:val="Normal"/>
    <w:pPr>
      <w:autoSpaceDE w:val="0"/>
      <w:autoSpaceDN w:val="0"/>
      <w:adjustRightInd w:val="0"/>
      <w:spacing w:before="0" w:after="0"/>
    </w:pPr>
    <w:rPr>
      <w:color w:val="000000"/>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pPr>
      <w:spacing w:before="0" w:after="0"/>
    </w:pPr>
    <w:rPr>
      <w:rFonts w:ascii="Tahoma" w:hAnsi="Tahoma" w:cs="Tahoma"/>
      <w:sz w:val="16"/>
      <w:szCs w:val="16"/>
    </w:rPr>
  </w:style>
  <w:style w:type="character" w:styleId="PageNumber">
    <w:name w:val="page number"/>
    <w:basedOn w:val="DefaultParagraphFont"/>
    <w:rsid w:val="00CE6C39"/>
  </w:style>
  <w:style w:type="paragraph" w:styleId="NoSpacing">
    <w:name w:val="No Spacing"/>
    <w:uiPriority w:val="1"/>
    <w:qFormat/>
    <w:rsid w:val="00E407AF"/>
    <w:rPr>
      <w:sz w:val="24"/>
      <w:szCs w:val="24"/>
    </w:rPr>
  </w:style>
  <w:style w:type="character" w:customStyle="1" w:styleId="BalloonTextChar">
    <w:name w:val="Balloon Text Char"/>
    <w:link w:val="BalloonText"/>
    <w:uiPriority w:val="99"/>
    <w:semiHidden/>
    <w:rsid w:val="003502CA"/>
    <w:rPr>
      <w:rFonts w:ascii="Tahoma" w:hAnsi="Tahoma" w:cs="Tahoma"/>
      <w:sz w:val="16"/>
      <w:szCs w:val="16"/>
    </w:rPr>
  </w:style>
  <w:style w:type="table" w:styleId="TableGrid">
    <w:name w:val="Table Grid"/>
    <w:basedOn w:val="TableNormal"/>
    <w:rsid w:val="003C5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177ED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eList6">
    <w:name w:val="Table List 6"/>
    <w:basedOn w:val="TableNormal"/>
    <w:rsid w:val="00177ED6"/>
    <w:pPr>
      <w:spacing w:before="60" w:after="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ListParagraph">
    <w:name w:val="List Paragraph"/>
    <w:basedOn w:val="Normal"/>
    <w:uiPriority w:val="34"/>
    <w:qFormat/>
    <w:rsid w:val="00230CC1"/>
    <w:pPr>
      <w:spacing w:before="0" w:after="200" w:line="276" w:lineRule="auto"/>
      <w:ind w:left="720"/>
      <w:contextualSpacing/>
    </w:pPr>
    <w:rPr>
      <w:rFonts w:ascii="Calibri" w:eastAsia="Calibri" w:hAnsi="Calibri"/>
      <w:sz w:val="22"/>
      <w:szCs w:val="22"/>
    </w:rPr>
  </w:style>
  <w:style w:type="character" w:styleId="Hyperlink">
    <w:name w:val="Hyperlink"/>
    <w:unhideWhenUsed/>
    <w:rsid w:val="009905D9"/>
    <w:rPr>
      <w:color w:val="0000FF"/>
      <w:u w:val="single"/>
    </w:rPr>
  </w:style>
  <w:style w:type="character" w:styleId="CommentReference">
    <w:name w:val="annotation reference"/>
    <w:semiHidden/>
    <w:unhideWhenUsed/>
    <w:rsid w:val="00F06E02"/>
    <w:rPr>
      <w:sz w:val="16"/>
      <w:szCs w:val="16"/>
    </w:rPr>
  </w:style>
  <w:style w:type="paragraph" w:styleId="CommentText">
    <w:name w:val="annotation text"/>
    <w:basedOn w:val="Normal"/>
    <w:link w:val="CommentTextChar"/>
    <w:semiHidden/>
    <w:unhideWhenUsed/>
    <w:rsid w:val="00F06E02"/>
    <w:pPr>
      <w:spacing w:before="0" w:after="0"/>
    </w:pPr>
    <w:rPr>
      <w:sz w:val="20"/>
      <w:szCs w:val="20"/>
    </w:rPr>
  </w:style>
  <w:style w:type="character" w:customStyle="1" w:styleId="CommentTextChar">
    <w:name w:val="Comment Text Char"/>
    <w:link w:val="CommentText"/>
    <w:semiHidden/>
    <w:rsid w:val="00F06E02"/>
    <w:rPr>
      <w:sz w:val="20"/>
      <w:szCs w:val="20"/>
    </w:rPr>
  </w:style>
  <w:style w:type="paragraph" w:styleId="CommentSubject">
    <w:name w:val="annotation subject"/>
    <w:basedOn w:val="CommentText"/>
    <w:next w:val="CommentText"/>
    <w:link w:val="CommentSubjectChar"/>
    <w:semiHidden/>
    <w:unhideWhenUsed/>
    <w:rsid w:val="002C0C1A"/>
    <w:pPr>
      <w:spacing w:before="60" w:after="60"/>
    </w:pPr>
    <w:rPr>
      <w:b/>
      <w:bCs/>
    </w:rPr>
  </w:style>
  <w:style w:type="character" w:customStyle="1" w:styleId="CommentSubjectChar">
    <w:name w:val="Comment Subject Char"/>
    <w:basedOn w:val="CommentTextChar"/>
    <w:link w:val="CommentSubject"/>
    <w:semiHidden/>
    <w:rsid w:val="002C0C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165004">
      <w:bodyDiv w:val="1"/>
      <w:marLeft w:val="0"/>
      <w:marRight w:val="0"/>
      <w:marTop w:val="0"/>
      <w:marBottom w:val="0"/>
      <w:divBdr>
        <w:top w:val="none" w:sz="0" w:space="0" w:color="auto"/>
        <w:left w:val="none" w:sz="0" w:space="0" w:color="auto"/>
        <w:bottom w:val="none" w:sz="0" w:space="0" w:color="auto"/>
        <w:right w:val="none" w:sz="0" w:space="0" w:color="auto"/>
      </w:divBdr>
    </w:div>
    <w:div w:id="9279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pp.leg.wa.gov/RCW/default.aspx?cite=46.61.035"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TPDID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441C9D8AB8454B9205D87F654F27B8" ma:contentTypeVersion="0" ma:contentTypeDescription="Create a new document." ma:contentTypeScope="" ma:versionID="0e339069f09dbb71214417e2a7d096c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1E1DE69-16A5-47B3-9771-C3AB3DCC54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345FD1-441B-49CA-88F0-D8AF9E5ACCD9}">
  <ds:schemaRefs>
    <ds:schemaRef ds:uri="http://schemas.microsoft.com/sharepoint/v3/contenttype/forms"/>
  </ds:schemaRefs>
</ds:datastoreItem>
</file>

<file path=customXml/itemProps3.xml><?xml version="1.0" encoding="utf-8"?>
<ds:datastoreItem xmlns:ds="http://schemas.openxmlformats.org/officeDocument/2006/customXml" ds:itemID="{8CF3F94C-0A50-4230-B26B-90D4DBAFC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TPDIDM</Template>
  <TotalTime>10</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Create TPD IDM</vt:lpstr>
    </vt:vector>
  </TitlesOfParts>
  <Company>City of Tacoma</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TPD IDM</dc:title>
  <dc:creator>Tacoma Police Department</dc:creator>
  <cp:lastModifiedBy>Nasworthy, Marie</cp:lastModifiedBy>
  <cp:revision>4</cp:revision>
  <cp:lastPrinted>2019-02-18T19:00:00Z</cp:lastPrinted>
  <dcterms:created xsi:type="dcterms:W3CDTF">2019-02-12T16:38:00Z</dcterms:created>
  <dcterms:modified xsi:type="dcterms:W3CDTF">2019-02-18T19:02:00Z</dcterms:modified>
</cp:coreProperties>
</file>