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233" w14:textId="0EA1CDF3" w:rsidR="000808C4" w:rsidRPr="004D7379" w:rsidRDefault="005865D7">
      <w:pPr>
        <w:pStyle w:val="Title"/>
        <w:outlineLvl w:val="0"/>
        <w:rPr>
          <w:sz w:val="40"/>
          <w:szCs w:val="40"/>
        </w:rPr>
      </w:pPr>
      <w:r>
        <w:rPr>
          <w:noProof/>
        </w:rPr>
        <w:drawing>
          <wp:anchor distT="0" distB="0" distL="114300" distR="114300" simplePos="0" relativeHeight="251658240" behindDoc="1" locked="0" layoutInCell="1" allowOverlap="0" wp14:anchorId="1A8843BA" wp14:editId="1B4889CF">
            <wp:simplePos x="0" y="0"/>
            <wp:positionH relativeFrom="column">
              <wp:posOffset>5212080</wp:posOffset>
            </wp:positionH>
            <wp:positionV relativeFrom="page">
              <wp:posOffset>490220</wp:posOffset>
            </wp:positionV>
            <wp:extent cx="1115060" cy="131635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5060" cy="1316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8C4" w:rsidRPr="004D7379">
        <w:rPr>
          <w:sz w:val="40"/>
          <w:szCs w:val="40"/>
        </w:rPr>
        <w:t>TACOMA POLICE DEPARTMENT</w:t>
      </w:r>
    </w:p>
    <w:p w14:paraId="0925B165" w14:textId="77777777" w:rsidR="000808C4" w:rsidRPr="004D7379" w:rsidRDefault="000808C4">
      <w:pPr>
        <w:pStyle w:val="Title"/>
        <w:outlineLvl w:val="0"/>
        <w:rPr>
          <w:sz w:val="36"/>
          <w:szCs w:val="36"/>
        </w:rPr>
      </w:pPr>
      <w:r w:rsidRPr="004D7379">
        <w:rPr>
          <w:sz w:val="36"/>
          <w:szCs w:val="36"/>
        </w:rPr>
        <w:t>Intra-Departmental Memorandum</w:t>
      </w:r>
    </w:p>
    <w:p w14:paraId="061334B4" w14:textId="77777777" w:rsidR="000808C4" w:rsidRPr="004D7379" w:rsidRDefault="000808C4">
      <w:pPr>
        <w:pStyle w:val="Title"/>
      </w:pPr>
    </w:p>
    <w:p w14:paraId="29D99C08" w14:textId="53E83764" w:rsidR="000808C4" w:rsidRPr="004D7379" w:rsidRDefault="000808C4">
      <w:pPr>
        <w:framePr w:hSpace="180" w:wrap="around" w:vAnchor="text" w:hAnchor="page" w:x="9361" w:y="-2190"/>
        <w:tabs>
          <w:tab w:val="left" w:pos="7920"/>
        </w:tabs>
      </w:pPr>
    </w:p>
    <w:p w14:paraId="1C43B30E" w14:textId="77777777" w:rsidR="000808C4" w:rsidRPr="004D7379" w:rsidRDefault="000808C4"/>
    <w:tbl>
      <w:tblPr>
        <w:tblW w:w="9963" w:type="dxa"/>
        <w:tblInd w:w="-45" w:type="dxa"/>
        <w:tblLayout w:type="fixed"/>
        <w:tblLook w:val="0000" w:firstRow="0" w:lastRow="0" w:firstColumn="0" w:lastColumn="0" w:noHBand="0" w:noVBand="0"/>
      </w:tblPr>
      <w:tblGrid>
        <w:gridCol w:w="2133"/>
        <w:gridCol w:w="4230"/>
        <w:gridCol w:w="3600"/>
      </w:tblGrid>
      <w:tr w:rsidR="000808C4" w:rsidRPr="004D7379" w14:paraId="1CE9875D" w14:textId="77777777" w:rsidTr="00B830D1">
        <w:trPr>
          <w:cantSplit/>
        </w:trPr>
        <w:tc>
          <w:tcPr>
            <w:tcW w:w="2133" w:type="dxa"/>
          </w:tcPr>
          <w:p w14:paraId="6C38D2E3" w14:textId="77777777" w:rsidR="000808C4" w:rsidRPr="004D7379" w:rsidRDefault="000808C4" w:rsidP="008C359D">
            <w:pPr>
              <w:spacing w:after="0"/>
              <w:rPr>
                <w:b/>
                <w:sz w:val="28"/>
              </w:rPr>
            </w:pPr>
            <w:r w:rsidRPr="004D7379">
              <w:rPr>
                <w:b/>
                <w:sz w:val="28"/>
              </w:rPr>
              <w:t>TO:</w:t>
            </w:r>
          </w:p>
        </w:tc>
        <w:tc>
          <w:tcPr>
            <w:tcW w:w="4230" w:type="dxa"/>
          </w:tcPr>
          <w:p w14:paraId="5AFF2E26" w14:textId="51F4C932" w:rsidR="00EB5408" w:rsidRDefault="00A87783" w:rsidP="008C359D">
            <w:pPr>
              <w:pStyle w:val="NormalWeb"/>
              <w:spacing w:before="60" w:beforeAutospacing="0" w:after="0" w:afterAutospacing="0"/>
              <w:rPr>
                <w:rFonts w:ascii="Times New Roman" w:eastAsia="Times New Roman" w:hAnsi="Times New Roman" w:cs="Times New Roman"/>
                <w:bCs/>
                <w:szCs w:val="20"/>
              </w:rPr>
            </w:pPr>
            <w:r>
              <w:rPr>
                <w:rFonts w:ascii="Times New Roman" w:eastAsia="Times New Roman" w:hAnsi="Times New Roman" w:cs="Times New Roman"/>
                <w:bCs/>
                <w:szCs w:val="20"/>
              </w:rPr>
              <w:t xml:space="preserve">Avery </w:t>
            </w:r>
            <w:r w:rsidR="005865D7">
              <w:rPr>
                <w:rFonts w:ascii="Times New Roman" w:eastAsia="Times New Roman" w:hAnsi="Times New Roman" w:cs="Times New Roman"/>
                <w:bCs/>
                <w:szCs w:val="20"/>
              </w:rPr>
              <w:t xml:space="preserve">L. </w:t>
            </w:r>
            <w:r>
              <w:rPr>
                <w:rFonts w:ascii="Times New Roman" w:eastAsia="Times New Roman" w:hAnsi="Times New Roman" w:cs="Times New Roman"/>
                <w:bCs/>
                <w:szCs w:val="20"/>
              </w:rPr>
              <w:t>Moore</w:t>
            </w:r>
          </w:p>
          <w:p w14:paraId="0A9A4000" w14:textId="79F6C64B" w:rsidR="008C359D" w:rsidRPr="004D7379" w:rsidRDefault="008C359D" w:rsidP="008C359D">
            <w:pPr>
              <w:pStyle w:val="NormalWeb"/>
              <w:spacing w:before="0" w:beforeAutospacing="0" w:after="240" w:afterAutospacing="0"/>
              <w:rPr>
                <w:rFonts w:ascii="Times New Roman" w:eastAsia="Times New Roman" w:hAnsi="Times New Roman" w:cs="Times New Roman"/>
                <w:bCs/>
                <w:szCs w:val="20"/>
              </w:rPr>
            </w:pPr>
            <w:r>
              <w:rPr>
                <w:rFonts w:ascii="Times New Roman" w:eastAsia="Times New Roman" w:hAnsi="Times New Roman" w:cs="Times New Roman"/>
                <w:bCs/>
                <w:szCs w:val="20"/>
              </w:rPr>
              <w:t>Chief of Police</w:t>
            </w:r>
          </w:p>
        </w:tc>
        <w:tc>
          <w:tcPr>
            <w:tcW w:w="3600" w:type="dxa"/>
          </w:tcPr>
          <w:p w14:paraId="5A95EB75" w14:textId="3C4E1808" w:rsidR="000808C4" w:rsidRPr="004D7379" w:rsidRDefault="009D5F1F" w:rsidP="008C359D">
            <w:pPr>
              <w:pStyle w:val="BalloonText"/>
              <w:tabs>
                <w:tab w:val="left" w:pos="1152"/>
              </w:tabs>
              <w:spacing w:before="60"/>
              <w:rPr>
                <w:rFonts w:ascii="Times New Roman" w:hAnsi="Times New Roman" w:cs="Times New Roman"/>
                <w:sz w:val="24"/>
                <w:szCs w:val="24"/>
              </w:rPr>
            </w:pPr>
            <w:bookmarkStart w:id="0" w:name="To"/>
            <w:bookmarkEnd w:id="0"/>
            <w:r w:rsidRPr="004D7379">
              <w:rPr>
                <w:rFonts w:ascii="Times New Roman" w:hAnsi="Times New Roman" w:cs="Times New Roman"/>
                <w:b/>
                <w:sz w:val="28"/>
              </w:rPr>
              <w:t>ASB #:</w:t>
            </w:r>
            <w:r w:rsidRPr="00580642">
              <w:rPr>
                <w:rFonts w:ascii="Times New Roman" w:hAnsi="Times New Roman" w:cs="Times New Roman"/>
                <w:sz w:val="28"/>
              </w:rPr>
              <w:tab/>
            </w:r>
            <w:r w:rsidR="00580642">
              <w:rPr>
                <w:rFonts w:ascii="Times New Roman" w:hAnsi="Times New Roman" w:cs="Times New Roman"/>
                <w:sz w:val="24"/>
              </w:rPr>
              <w:t>2</w:t>
            </w:r>
            <w:r w:rsidR="005865D7">
              <w:rPr>
                <w:rFonts w:ascii="Times New Roman" w:hAnsi="Times New Roman" w:cs="Times New Roman"/>
                <w:sz w:val="24"/>
              </w:rPr>
              <w:t>3</w:t>
            </w:r>
            <w:r w:rsidR="00A87783">
              <w:rPr>
                <w:rFonts w:ascii="Times New Roman" w:hAnsi="Times New Roman" w:cs="Times New Roman"/>
                <w:sz w:val="24"/>
              </w:rPr>
              <w:t>-</w:t>
            </w:r>
            <w:r w:rsidR="00743ADD">
              <w:rPr>
                <w:rFonts w:ascii="Times New Roman" w:hAnsi="Times New Roman" w:cs="Times New Roman"/>
                <w:sz w:val="24"/>
              </w:rPr>
              <w:t>0</w:t>
            </w:r>
            <w:r w:rsidR="00273EF0">
              <w:rPr>
                <w:rFonts w:ascii="Times New Roman" w:hAnsi="Times New Roman" w:cs="Times New Roman"/>
                <w:sz w:val="24"/>
              </w:rPr>
              <w:t>05</w:t>
            </w:r>
          </w:p>
          <w:p w14:paraId="4476CED4" w14:textId="77777777" w:rsidR="000808C4" w:rsidRPr="004D7379" w:rsidRDefault="000808C4" w:rsidP="008C359D">
            <w:pPr>
              <w:pStyle w:val="To"/>
              <w:spacing w:before="0" w:after="0"/>
            </w:pPr>
          </w:p>
        </w:tc>
      </w:tr>
      <w:tr w:rsidR="000808C4" w:rsidRPr="004D7379" w14:paraId="75D285A3" w14:textId="77777777" w:rsidTr="00B830D1">
        <w:trPr>
          <w:cantSplit/>
        </w:trPr>
        <w:tc>
          <w:tcPr>
            <w:tcW w:w="2133" w:type="dxa"/>
          </w:tcPr>
          <w:p w14:paraId="45FAC749" w14:textId="77777777" w:rsidR="000808C4" w:rsidRPr="004D7379" w:rsidRDefault="000808C4" w:rsidP="008C359D">
            <w:pPr>
              <w:spacing w:after="0"/>
              <w:rPr>
                <w:b/>
                <w:sz w:val="28"/>
              </w:rPr>
            </w:pPr>
            <w:r w:rsidRPr="004D7379">
              <w:rPr>
                <w:b/>
                <w:sz w:val="28"/>
              </w:rPr>
              <w:t>FROM:</w:t>
            </w:r>
          </w:p>
        </w:tc>
        <w:tc>
          <w:tcPr>
            <w:tcW w:w="4230" w:type="dxa"/>
          </w:tcPr>
          <w:p w14:paraId="40BC26D1" w14:textId="133C47ED" w:rsidR="000E44FD" w:rsidRDefault="008C359D" w:rsidP="005E7225">
            <w:pPr>
              <w:spacing w:after="0"/>
              <w:rPr>
                <w:bCs/>
              </w:rPr>
            </w:pPr>
            <w:r>
              <w:rPr>
                <w:bCs/>
              </w:rPr>
              <w:t xml:space="preserve">Lieutenant </w:t>
            </w:r>
            <w:r w:rsidR="00A87783">
              <w:rPr>
                <w:bCs/>
              </w:rPr>
              <w:t>Gary J. Roberts</w:t>
            </w:r>
          </w:p>
          <w:p w14:paraId="0D29FDF7" w14:textId="5249DD2C" w:rsidR="008C359D" w:rsidRPr="004D7379" w:rsidRDefault="00580642" w:rsidP="00580642">
            <w:pPr>
              <w:spacing w:before="0" w:after="240" w:line="276" w:lineRule="auto"/>
              <w:rPr>
                <w:bCs/>
              </w:rPr>
            </w:pPr>
            <w:r>
              <w:rPr>
                <w:bCs/>
              </w:rPr>
              <w:t>Internal Affairs Section</w:t>
            </w:r>
          </w:p>
        </w:tc>
        <w:tc>
          <w:tcPr>
            <w:tcW w:w="3600" w:type="dxa"/>
          </w:tcPr>
          <w:p w14:paraId="1F009EA3" w14:textId="6B9C4182" w:rsidR="000808C4" w:rsidRPr="004D7379" w:rsidRDefault="000808C4" w:rsidP="00580642">
            <w:pPr>
              <w:pStyle w:val="BalloonText"/>
              <w:tabs>
                <w:tab w:val="left" w:pos="1152"/>
              </w:tabs>
              <w:spacing w:before="60"/>
              <w:rPr>
                <w:rFonts w:ascii="Times New Roman" w:hAnsi="Times New Roman" w:cs="Times New Roman"/>
                <w:sz w:val="24"/>
                <w:szCs w:val="24"/>
              </w:rPr>
            </w:pPr>
            <w:bookmarkStart w:id="1" w:name="From"/>
            <w:bookmarkEnd w:id="1"/>
            <w:r w:rsidRPr="004D7379">
              <w:rPr>
                <w:rFonts w:ascii="Times New Roman" w:hAnsi="Times New Roman" w:cs="Times New Roman"/>
                <w:b/>
                <w:sz w:val="28"/>
                <w:szCs w:val="28"/>
              </w:rPr>
              <w:t>DATE:</w:t>
            </w:r>
            <w:r w:rsidR="009D5F1F" w:rsidRPr="004D7379">
              <w:rPr>
                <w:rFonts w:ascii="Times New Roman" w:hAnsi="Times New Roman" w:cs="Times New Roman"/>
                <w:sz w:val="24"/>
                <w:szCs w:val="24"/>
              </w:rPr>
              <w:t xml:space="preserve"> </w:t>
            </w:r>
            <w:r w:rsidR="009D5F1F" w:rsidRPr="004D7379">
              <w:rPr>
                <w:rFonts w:ascii="Times New Roman" w:hAnsi="Times New Roman" w:cs="Times New Roman"/>
                <w:sz w:val="24"/>
                <w:szCs w:val="24"/>
              </w:rPr>
              <w:tab/>
            </w:r>
            <w:r w:rsidR="005865D7">
              <w:rPr>
                <w:rFonts w:ascii="Times New Roman" w:hAnsi="Times New Roman" w:cs="Times New Roman"/>
                <w:sz w:val="24"/>
                <w:szCs w:val="24"/>
              </w:rPr>
              <w:t>February 2</w:t>
            </w:r>
            <w:r w:rsidR="00273EF0">
              <w:rPr>
                <w:rFonts w:ascii="Times New Roman" w:hAnsi="Times New Roman" w:cs="Times New Roman"/>
                <w:sz w:val="24"/>
                <w:szCs w:val="24"/>
              </w:rPr>
              <w:t>1</w:t>
            </w:r>
            <w:r w:rsidR="005865D7">
              <w:rPr>
                <w:rFonts w:ascii="Times New Roman" w:hAnsi="Times New Roman" w:cs="Times New Roman"/>
                <w:sz w:val="24"/>
                <w:szCs w:val="24"/>
              </w:rPr>
              <w:t>, 2023</w:t>
            </w:r>
          </w:p>
        </w:tc>
      </w:tr>
      <w:tr w:rsidR="000E44FD" w:rsidRPr="004D7379" w14:paraId="05A47D5F" w14:textId="77777777" w:rsidTr="003502CA">
        <w:trPr>
          <w:cantSplit/>
        </w:trPr>
        <w:tc>
          <w:tcPr>
            <w:tcW w:w="2133" w:type="dxa"/>
          </w:tcPr>
          <w:p w14:paraId="285DC7C9" w14:textId="77777777" w:rsidR="000E44FD" w:rsidRPr="004D7379" w:rsidRDefault="000E44FD" w:rsidP="008C359D">
            <w:pPr>
              <w:spacing w:after="0"/>
              <w:rPr>
                <w:b/>
                <w:sz w:val="28"/>
              </w:rPr>
            </w:pPr>
            <w:r w:rsidRPr="004D7379">
              <w:rPr>
                <w:b/>
                <w:sz w:val="28"/>
              </w:rPr>
              <w:t>THROUGH:</w:t>
            </w:r>
          </w:p>
        </w:tc>
        <w:tc>
          <w:tcPr>
            <w:tcW w:w="7830" w:type="dxa"/>
            <w:gridSpan w:val="2"/>
          </w:tcPr>
          <w:p w14:paraId="30C63061" w14:textId="627D2CD2" w:rsidR="00EB5408" w:rsidRDefault="008C359D" w:rsidP="005E7225">
            <w:pPr>
              <w:pStyle w:val="Subject"/>
              <w:spacing w:after="0"/>
              <w:rPr>
                <w:bCs/>
              </w:rPr>
            </w:pPr>
            <w:r>
              <w:rPr>
                <w:bCs/>
              </w:rPr>
              <w:t xml:space="preserve">Captain </w:t>
            </w:r>
            <w:r w:rsidR="005865D7">
              <w:rPr>
                <w:bCs/>
              </w:rPr>
              <w:t>Eric Scripps</w:t>
            </w:r>
          </w:p>
          <w:p w14:paraId="3E3AC238" w14:textId="2048437B" w:rsidR="008C359D" w:rsidRDefault="00580642" w:rsidP="008C359D">
            <w:pPr>
              <w:pStyle w:val="Subject"/>
              <w:spacing w:before="0" w:line="276" w:lineRule="auto"/>
              <w:rPr>
                <w:bCs/>
              </w:rPr>
            </w:pPr>
            <w:r>
              <w:rPr>
                <w:bCs/>
              </w:rPr>
              <w:t xml:space="preserve">Support Services </w:t>
            </w:r>
            <w:r w:rsidR="008C359D">
              <w:rPr>
                <w:bCs/>
              </w:rPr>
              <w:t>Division Commander</w:t>
            </w:r>
          </w:p>
          <w:p w14:paraId="6F39B509" w14:textId="51F19E7E" w:rsidR="008C359D" w:rsidRDefault="008C359D" w:rsidP="008C359D">
            <w:pPr>
              <w:pStyle w:val="Subject"/>
              <w:spacing w:after="0"/>
              <w:rPr>
                <w:bCs/>
              </w:rPr>
            </w:pPr>
            <w:r>
              <w:rPr>
                <w:bCs/>
              </w:rPr>
              <w:t xml:space="preserve">Assistant Chief </w:t>
            </w:r>
            <w:r w:rsidR="005865D7">
              <w:rPr>
                <w:bCs/>
              </w:rPr>
              <w:t>Crystal Young-Haskins</w:t>
            </w:r>
          </w:p>
          <w:p w14:paraId="13E2FA2E" w14:textId="77777777" w:rsidR="008C359D" w:rsidRPr="004D7379" w:rsidRDefault="008C359D" w:rsidP="008C359D">
            <w:pPr>
              <w:pStyle w:val="Subject"/>
              <w:spacing w:before="0" w:after="240" w:line="276" w:lineRule="auto"/>
              <w:rPr>
                <w:bCs/>
              </w:rPr>
            </w:pPr>
            <w:r>
              <w:rPr>
                <w:bCs/>
              </w:rPr>
              <w:t>Administrative Services Bureau Commander</w:t>
            </w:r>
          </w:p>
        </w:tc>
      </w:tr>
      <w:tr w:rsidR="000808C4" w:rsidRPr="004D7379" w14:paraId="77390271" w14:textId="77777777" w:rsidTr="003502CA">
        <w:trPr>
          <w:cantSplit/>
        </w:trPr>
        <w:tc>
          <w:tcPr>
            <w:tcW w:w="2133" w:type="dxa"/>
          </w:tcPr>
          <w:p w14:paraId="126A6401" w14:textId="77777777" w:rsidR="000808C4" w:rsidRPr="004D7379" w:rsidRDefault="000808C4" w:rsidP="008C359D">
            <w:pPr>
              <w:spacing w:after="0"/>
              <w:rPr>
                <w:b/>
                <w:sz w:val="28"/>
              </w:rPr>
            </w:pPr>
            <w:r w:rsidRPr="004D7379">
              <w:rPr>
                <w:b/>
                <w:sz w:val="28"/>
              </w:rPr>
              <w:t>SUBJECT:</w:t>
            </w:r>
          </w:p>
        </w:tc>
        <w:tc>
          <w:tcPr>
            <w:tcW w:w="7830" w:type="dxa"/>
            <w:gridSpan w:val="2"/>
          </w:tcPr>
          <w:p w14:paraId="168B4093" w14:textId="49322E64" w:rsidR="008C359D" w:rsidRPr="004D7379" w:rsidRDefault="008C359D" w:rsidP="00580642">
            <w:pPr>
              <w:pStyle w:val="Subject"/>
              <w:spacing w:after="240" w:line="276" w:lineRule="auto"/>
              <w:rPr>
                <w:b/>
                <w:bCs/>
              </w:rPr>
            </w:pPr>
            <w:r>
              <w:rPr>
                <w:b/>
                <w:bCs/>
              </w:rPr>
              <w:t>20</w:t>
            </w:r>
            <w:r w:rsidR="00580642">
              <w:rPr>
                <w:b/>
                <w:bCs/>
              </w:rPr>
              <w:t>2</w:t>
            </w:r>
            <w:r w:rsidR="005865D7">
              <w:rPr>
                <w:b/>
                <w:bCs/>
              </w:rPr>
              <w:t>2</w:t>
            </w:r>
            <w:r>
              <w:rPr>
                <w:b/>
                <w:bCs/>
              </w:rPr>
              <w:t xml:space="preserve"> PURSUIT ANALYSIS REPORT</w:t>
            </w:r>
          </w:p>
        </w:tc>
      </w:tr>
    </w:tbl>
    <w:p w14:paraId="611FAE59" w14:textId="77777777" w:rsidR="00EB5408" w:rsidRPr="004D7379" w:rsidRDefault="00EB5408">
      <w:pPr>
        <w:spacing w:before="0" w:after="0"/>
      </w:pPr>
    </w:p>
    <w:p w14:paraId="17706B92" w14:textId="0DAA932E" w:rsidR="00213F92" w:rsidRPr="00E66BB7" w:rsidRDefault="00213F92" w:rsidP="00F17030">
      <w:pPr>
        <w:jc w:val="both"/>
        <w:rPr>
          <w:rFonts w:eastAsia="Arial Unicode MS"/>
        </w:rPr>
      </w:pPr>
      <w:r w:rsidRPr="00E66BB7">
        <w:rPr>
          <w:rFonts w:eastAsia="Arial Unicode MS"/>
        </w:rPr>
        <w:t>The Tacoma Police Department uses the I</w:t>
      </w:r>
      <w:r w:rsidR="00C34B03" w:rsidRPr="00E66BB7">
        <w:rPr>
          <w:rFonts w:eastAsia="Arial Unicode MS"/>
        </w:rPr>
        <w:t xml:space="preserve">APro/BlueTeam database to track </w:t>
      </w:r>
      <w:r w:rsidRPr="00E66BB7">
        <w:rPr>
          <w:rFonts w:eastAsia="Arial Unicode MS"/>
        </w:rPr>
        <w:t>Department incidents, to include Vehicle Pursuits. Each vehicle pursuit is reviewed and evaluated</w:t>
      </w:r>
      <w:r w:rsidR="00580642" w:rsidRPr="00E66BB7">
        <w:rPr>
          <w:rFonts w:eastAsia="Arial Unicode MS"/>
        </w:rPr>
        <w:t xml:space="preserve"> – first </w:t>
      </w:r>
      <w:r w:rsidRPr="00E66BB7">
        <w:rPr>
          <w:rFonts w:eastAsia="Arial Unicode MS"/>
        </w:rPr>
        <w:t xml:space="preserve">by a field </w:t>
      </w:r>
      <w:r w:rsidR="005865D7">
        <w:rPr>
          <w:rFonts w:eastAsia="Arial Unicode MS"/>
        </w:rPr>
        <w:t>s</w:t>
      </w:r>
      <w:r w:rsidRPr="00E66BB7">
        <w:rPr>
          <w:rFonts w:eastAsia="Arial Unicode MS"/>
        </w:rPr>
        <w:t xml:space="preserve">upervisor, </w:t>
      </w:r>
      <w:r w:rsidR="00580642" w:rsidRPr="00E66BB7">
        <w:rPr>
          <w:rFonts w:eastAsia="Arial Unicode MS"/>
        </w:rPr>
        <w:t xml:space="preserve">then by </w:t>
      </w:r>
      <w:r w:rsidRPr="00E66BB7">
        <w:rPr>
          <w:rFonts w:eastAsia="Arial Unicode MS"/>
        </w:rPr>
        <w:t xml:space="preserve">a Shift Commander, and </w:t>
      </w:r>
      <w:r w:rsidR="00580642" w:rsidRPr="00E66BB7">
        <w:rPr>
          <w:rFonts w:eastAsia="Arial Unicode MS"/>
        </w:rPr>
        <w:t xml:space="preserve">finally by the respective Division </w:t>
      </w:r>
      <w:r w:rsidRPr="00E66BB7">
        <w:rPr>
          <w:rFonts w:eastAsia="Arial Unicode MS"/>
        </w:rPr>
        <w:t>Captain.</w:t>
      </w:r>
    </w:p>
    <w:p w14:paraId="26338950" w14:textId="28355C73" w:rsidR="00406AA2" w:rsidRPr="00E66BB7" w:rsidRDefault="00213F92" w:rsidP="00406AA2">
      <w:pPr>
        <w:jc w:val="both"/>
      </w:pPr>
      <w:r w:rsidRPr="00E66BB7">
        <w:t xml:space="preserve">The Tacoma Police Department recognizes that under </w:t>
      </w:r>
      <w:hyperlink r:id="rId11" w:history="1">
        <w:r w:rsidRPr="00C22490">
          <w:rPr>
            <w:rStyle w:val="Hyperlink"/>
          </w:rPr>
          <w:t>RCW 46.61.035</w:t>
        </w:r>
      </w:hyperlink>
      <w:r w:rsidRPr="00E66BB7">
        <w:t xml:space="preserve"> (see RCW for legislative language in its entirety), </w:t>
      </w:r>
      <w:r w:rsidR="008F2172">
        <w:t>o</w:t>
      </w:r>
      <w:r w:rsidRPr="00E66BB7">
        <w:t>fficers have the legal right and duty to apprehend offenders who flee from the police and present a threat to the pu</w:t>
      </w:r>
      <w:r w:rsidR="00C34B03" w:rsidRPr="00E66BB7">
        <w:t xml:space="preserve">blic. </w:t>
      </w:r>
      <w:r w:rsidR="00406AA2" w:rsidRPr="00E66BB7">
        <w:t xml:space="preserve">Every Department member engaging in a pursuit must be able to articulate what conditions were present that justified the pursuit. </w:t>
      </w:r>
    </w:p>
    <w:p w14:paraId="45DBFDF6" w14:textId="32810BBA" w:rsidR="00783859" w:rsidRDefault="00783859" w:rsidP="00783859">
      <w:pPr>
        <w:jc w:val="both"/>
      </w:pPr>
      <w:r w:rsidRPr="00213F92">
        <w:t xml:space="preserve">Tacoma Police </w:t>
      </w:r>
      <w:r>
        <w:t>P</w:t>
      </w:r>
      <w:r w:rsidRPr="00213F92">
        <w:t xml:space="preserve">olicy defines a vehicle pursuit as an active attempt by an </w:t>
      </w:r>
      <w:r>
        <w:t>o</w:t>
      </w:r>
      <w:r w:rsidRPr="00213F92">
        <w:t>fficer to apprehend a suspect who willfully fails to immediately bring his or her vehicle to a stop and drives in a reckless and evasive manner</w:t>
      </w:r>
      <w:r w:rsidR="005865D7">
        <w:t>,</w:t>
      </w:r>
      <w:r w:rsidRPr="00213F92">
        <w:t xml:space="preserve"> while attempting to elude a pursuing police vehicle.</w:t>
      </w:r>
    </w:p>
    <w:p w14:paraId="03C8FB1B" w14:textId="77777777" w:rsidR="005865D7" w:rsidRDefault="005865D7" w:rsidP="00406AA2">
      <w:pPr>
        <w:jc w:val="both"/>
      </w:pPr>
      <w:r>
        <w:t>I</w:t>
      </w:r>
      <w:r w:rsidR="00672D2D" w:rsidRPr="00E66BB7">
        <w:t>n mid-2021</w:t>
      </w:r>
      <w:r w:rsidR="00B027AC" w:rsidRPr="00E66BB7">
        <w:t xml:space="preserve">, </w:t>
      </w:r>
      <w:r w:rsidR="00AE61FC">
        <w:t xml:space="preserve">the State of </w:t>
      </w:r>
      <w:r w:rsidR="00B027AC" w:rsidRPr="00E66BB7">
        <w:t xml:space="preserve">Washington enacted legislation </w:t>
      </w:r>
      <w:r w:rsidR="007B6F75">
        <w:t xml:space="preserve">(House Bill 1054) </w:t>
      </w:r>
      <w:r w:rsidR="00B027AC" w:rsidRPr="00E66BB7">
        <w:t xml:space="preserve">that </w:t>
      </w:r>
      <w:r w:rsidR="00BB1882" w:rsidRPr="00E66BB7">
        <w:t xml:space="preserve">placed restrictions on </w:t>
      </w:r>
      <w:r w:rsidR="00B027AC" w:rsidRPr="00E66BB7">
        <w:t xml:space="preserve">law enforcement </w:t>
      </w:r>
      <w:r w:rsidR="00C13D9F" w:rsidRPr="00E66BB7">
        <w:t>V</w:t>
      </w:r>
      <w:r w:rsidR="00BB1882" w:rsidRPr="00E66BB7">
        <w:t xml:space="preserve">ehicle </w:t>
      </w:r>
      <w:r w:rsidR="00C13D9F" w:rsidRPr="00E66BB7">
        <w:t>P</w:t>
      </w:r>
      <w:r w:rsidR="00BB1882" w:rsidRPr="00E66BB7">
        <w:t>ursuits</w:t>
      </w:r>
      <w:r w:rsidR="00C13D9F" w:rsidRPr="00E66BB7">
        <w:t xml:space="preserve"> and </w:t>
      </w:r>
      <w:r w:rsidR="00AE61FC">
        <w:t>other tactics</w:t>
      </w:r>
      <w:r w:rsidR="00BB1882" w:rsidRPr="00E66BB7">
        <w:t xml:space="preserve"> statewide (see </w:t>
      </w:r>
      <w:r w:rsidR="00AE61FC">
        <w:t xml:space="preserve">House Bill 1054 and </w:t>
      </w:r>
      <w:hyperlink r:id="rId12" w:history="1">
        <w:r w:rsidR="00BB1882" w:rsidRPr="008F2172">
          <w:rPr>
            <w:rStyle w:val="Hyperlink"/>
          </w:rPr>
          <w:t>RCW 10.116.060</w:t>
        </w:r>
      </w:hyperlink>
      <w:r w:rsidR="00BB1882" w:rsidRPr="00E66BB7">
        <w:t xml:space="preserve"> for legislative language in its entirety). </w:t>
      </w:r>
      <w:r w:rsidR="00AE61FC">
        <w:t>At that time, t</w:t>
      </w:r>
      <w:r w:rsidR="0093007E" w:rsidRPr="00E66BB7">
        <w:t xml:space="preserve">he Department conducted legal update training to ensure Department members were aware of the </w:t>
      </w:r>
      <w:r w:rsidR="008D626F">
        <w:t>S</w:t>
      </w:r>
      <w:r w:rsidR="0093007E" w:rsidRPr="00E66BB7">
        <w:t>tate’s new legislation</w:t>
      </w:r>
      <w:r>
        <w:t xml:space="preserve"> and that the Department’s Policy reflected the legislation.</w:t>
      </w:r>
    </w:p>
    <w:p w14:paraId="3B6D28A8" w14:textId="7563CF9D" w:rsidR="008D626F" w:rsidRDefault="005865D7" w:rsidP="00406AA2">
      <w:pPr>
        <w:jc w:val="both"/>
      </w:pPr>
      <w:r>
        <w:t>Our Department Policy is in line with the State of Washington’s legislation. O</w:t>
      </w:r>
      <w:r w:rsidRPr="00E66BB7">
        <w:t>ur Department Policy</w:t>
      </w:r>
      <w:r w:rsidR="0024329E">
        <w:t xml:space="preserve"> requires supervisory approval to initiate a pursuit. Our policy </w:t>
      </w:r>
      <w:r w:rsidRPr="00E66BB7">
        <w:t>limit</w:t>
      </w:r>
      <w:r>
        <w:t>s</w:t>
      </w:r>
      <w:r w:rsidRPr="00E66BB7">
        <w:t xml:space="preserve"> </w:t>
      </w:r>
      <w:r>
        <w:t>o</w:t>
      </w:r>
      <w:r w:rsidRPr="00E66BB7">
        <w:t>fficers from initiating a pursuit to incidents where there is probable cause to believe that a person in the vehicle has committed</w:t>
      </w:r>
      <w:r>
        <w:t>,</w:t>
      </w:r>
      <w:r w:rsidRPr="00E66BB7">
        <w:t xml:space="preserve"> or is committing</w:t>
      </w:r>
      <w:r>
        <w:t>,</w:t>
      </w:r>
      <w:r w:rsidRPr="00E66BB7">
        <w:t xml:space="preserve"> a violent </w:t>
      </w:r>
      <w:r w:rsidR="00FD668E">
        <w:t xml:space="preserve">offense </w:t>
      </w:r>
      <w:r w:rsidRPr="00E66BB7">
        <w:t>or sex offen</w:t>
      </w:r>
      <w:r w:rsidR="00375E30">
        <w:t>s</w:t>
      </w:r>
      <w:r w:rsidRPr="00E66BB7">
        <w:t>e, or the person poses an imminent threat to the safety of others</w:t>
      </w:r>
      <w:r>
        <w:t>,</w:t>
      </w:r>
      <w:r w:rsidRPr="00E66BB7">
        <w:t xml:space="preserve"> and the safety risks of failing to apprehend or identify the person are considered to be greater than the safety risks of the vehicular pursuit under the circumstances (see TPD Policy P3.2.3.A for complete language).</w:t>
      </w:r>
      <w:r w:rsidR="0093007E" w:rsidRPr="00E66BB7">
        <w:t xml:space="preserve"> </w:t>
      </w:r>
    </w:p>
    <w:p w14:paraId="1E23AD49" w14:textId="77777777" w:rsidR="00BB67D4" w:rsidRDefault="00BB67D4">
      <w:pPr>
        <w:spacing w:before="0" w:after="0"/>
      </w:pPr>
      <w:r>
        <w:br w:type="page"/>
      </w:r>
    </w:p>
    <w:p w14:paraId="3C60A2D0" w14:textId="77777777" w:rsidR="007B434C" w:rsidRDefault="007B434C" w:rsidP="00F17030">
      <w:pPr>
        <w:jc w:val="both"/>
        <w:sectPr w:rsidR="007B434C" w:rsidSect="00135C2F">
          <w:headerReference w:type="default" r:id="rId13"/>
          <w:footerReference w:type="default" r:id="rId14"/>
          <w:headerReference w:type="first" r:id="rId15"/>
          <w:footerReference w:type="first" r:id="rId16"/>
          <w:pgSz w:w="12240" w:h="15840" w:code="1"/>
          <w:pgMar w:top="1008" w:right="1152" w:bottom="576" w:left="1152" w:header="720" w:footer="432" w:gutter="0"/>
          <w:cols w:space="720"/>
          <w:noEndnote/>
          <w:docGrid w:linePitch="326"/>
        </w:sectPr>
      </w:pPr>
    </w:p>
    <w:p w14:paraId="0DBC1182" w14:textId="566FBB58" w:rsidR="00BB67D4" w:rsidRDefault="00213F92" w:rsidP="003546B1">
      <w:pPr>
        <w:spacing w:after="240"/>
        <w:jc w:val="both"/>
      </w:pPr>
      <w:r w:rsidRPr="003546B1">
        <w:lastRenderedPageBreak/>
        <w:t>The following analysis of the 20</w:t>
      </w:r>
      <w:r w:rsidR="00580642" w:rsidRPr="003546B1">
        <w:t>2</w:t>
      </w:r>
      <w:r w:rsidR="008A7201" w:rsidRPr="003546B1">
        <w:t>2</w:t>
      </w:r>
      <w:r w:rsidRPr="003546B1">
        <w:t xml:space="preserve"> Veh</w:t>
      </w:r>
      <w:r w:rsidRPr="00A87783">
        <w:t>icle Pursuits is based on information retrieved from the IAPro database.</w:t>
      </w:r>
    </w:p>
    <w:tbl>
      <w:tblPr>
        <w:tblW w:w="7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90"/>
        <w:gridCol w:w="1260"/>
        <w:gridCol w:w="1260"/>
        <w:gridCol w:w="1260"/>
      </w:tblGrid>
      <w:tr w:rsidR="008A7201" w:rsidRPr="00A87783" w14:paraId="435FDA64" w14:textId="05F9E8E7" w:rsidTr="008A7201">
        <w:trPr>
          <w:cantSplit/>
          <w:trHeight w:val="288"/>
          <w:jc w:val="center"/>
        </w:trPr>
        <w:tc>
          <w:tcPr>
            <w:tcW w:w="3890" w:type="dxa"/>
            <w:shd w:val="clear" w:color="auto" w:fill="D9D9D9"/>
            <w:vAlign w:val="center"/>
          </w:tcPr>
          <w:p w14:paraId="3418C57B" w14:textId="77777777" w:rsidR="008A7201" w:rsidRPr="00A87783" w:rsidRDefault="008A7201" w:rsidP="00580642">
            <w:pPr>
              <w:spacing w:before="0" w:after="0"/>
              <w:jc w:val="center"/>
              <w:rPr>
                <w:b/>
              </w:rPr>
            </w:pPr>
            <w:r w:rsidRPr="00A87783">
              <w:rPr>
                <w:b/>
              </w:rPr>
              <w:t>Pursuits</w:t>
            </w:r>
          </w:p>
        </w:tc>
        <w:tc>
          <w:tcPr>
            <w:tcW w:w="1260" w:type="dxa"/>
            <w:shd w:val="clear" w:color="auto" w:fill="D9D9D9"/>
          </w:tcPr>
          <w:p w14:paraId="5934F741" w14:textId="3F0051B8" w:rsidR="008A7201" w:rsidRPr="00A87783" w:rsidRDefault="008A7201" w:rsidP="00580642">
            <w:pPr>
              <w:spacing w:before="0" w:after="0"/>
              <w:jc w:val="center"/>
              <w:rPr>
                <w:b/>
              </w:rPr>
            </w:pPr>
            <w:r w:rsidRPr="00A87783">
              <w:rPr>
                <w:b/>
              </w:rPr>
              <w:t>2020</w:t>
            </w:r>
          </w:p>
        </w:tc>
        <w:tc>
          <w:tcPr>
            <w:tcW w:w="1260" w:type="dxa"/>
            <w:shd w:val="clear" w:color="auto" w:fill="D9D9D9"/>
          </w:tcPr>
          <w:p w14:paraId="196E32ED" w14:textId="34050078" w:rsidR="008A7201" w:rsidRPr="00A87783" w:rsidRDefault="008A7201" w:rsidP="00580642">
            <w:pPr>
              <w:spacing w:before="0" w:after="0"/>
              <w:jc w:val="center"/>
              <w:rPr>
                <w:b/>
              </w:rPr>
            </w:pPr>
            <w:r w:rsidRPr="00A87783">
              <w:rPr>
                <w:b/>
              </w:rPr>
              <w:t>2021</w:t>
            </w:r>
          </w:p>
        </w:tc>
        <w:tc>
          <w:tcPr>
            <w:tcW w:w="1260" w:type="dxa"/>
            <w:shd w:val="clear" w:color="auto" w:fill="D9D9D9"/>
          </w:tcPr>
          <w:p w14:paraId="5F68981E" w14:textId="63116318" w:rsidR="008A7201" w:rsidRPr="00A87783" w:rsidRDefault="008A7201" w:rsidP="00580642">
            <w:pPr>
              <w:spacing w:before="0" w:after="0"/>
              <w:jc w:val="center"/>
              <w:rPr>
                <w:b/>
              </w:rPr>
            </w:pPr>
            <w:r>
              <w:rPr>
                <w:b/>
              </w:rPr>
              <w:t>2022</w:t>
            </w:r>
          </w:p>
        </w:tc>
      </w:tr>
      <w:tr w:rsidR="008A7201" w:rsidRPr="00A87783" w14:paraId="599CE689" w14:textId="4AA0AB90" w:rsidTr="008A7201">
        <w:trPr>
          <w:trHeight w:val="288"/>
          <w:jc w:val="center"/>
        </w:trPr>
        <w:tc>
          <w:tcPr>
            <w:tcW w:w="3890" w:type="dxa"/>
            <w:vAlign w:val="center"/>
          </w:tcPr>
          <w:p w14:paraId="4F49FF53" w14:textId="77777777" w:rsidR="008A7201" w:rsidRPr="00A87783" w:rsidRDefault="008A7201" w:rsidP="008C4E3E">
            <w:pPr>
              <w:spacing w:before="0" w:after="0"/>
            </w:pPr>
            <w:r w:rsidRPr="00A87783">
              <w:t>Total Pursuits</w:t>
            </w:r>
          </w:p>
        </w:tc>
        <w:tc>
          <w:tcPr>
            <w:tcW w:w="1260" w:type="dxa"/>
          </w:tcPr>
          <w:p w14:paraId="39DF0720" w14:textId="1E1184DD" w:rsidR="008A7201" w:rsidRPr="00A87783" w:rsidRDefault="008A7201" w:rsidP="00580642">
            <w:pPr>
              <w:spacing w:before="0" w:after="0"/>
              <w:jc w:val="center"/>
            </w:pPr>
            <w:r w:rsidRPr="00A87783">
              <w:t>9</w:t>
            </w:r>
          </w:p>
        </w:tc>
        <w:tc>
          <w:tcPr>
            <w:tcW w:w="1260" w:type="dxa"/>
          </w:tcPr>
          <w:p w14:paraId="47DACC8F" w14:textId="1770C359" w:rsidR="008A7201" w:rsidRPr="00A87783" w:rsidRDefault="008A7201" w:rsidP="00580642">
            <w:pPr>
              <w:spacing w:before="0" w:after="0"/>
              <w:jc w:val="center"/>
            </w:pPr>
            <w:r>
              <w:t>1</w:t>
            </w:r>
          </w:p>
        </w:tc>
        <w:tc>
          <w:tcPr>
            <w:tcW w:w="1260" w:type="dxa"/>
          </w:tcPr>
          <w:p w14:paraId="10E28609" w14:textId="2EB6E9CB" w:rsidR="008A7201" w:rsidRDefault="008A7201" w:rsidP="00580642">
            <w:pPr>
              <w:spacing w:before="0" w:after="0"/>
              <w:jc w:val="center"/>
            </w:pPr>
            <w:r>
              <w:t>20*</w:t>
            </w:r>
          </w:p>
        </w:tc>
      </w:tr>
      <w:tr w:rsidR="008A7201" w:rsidRPr="00A87783" w14:paraId="3BFC41EE" w14:textId="5D3CCF20" w:rsidTr="008A7201">
        <w:trPr>
          <w:trHeight w:val="288"/>
          <w:jc w:val="center"/>
        </w:trPr>
        <w:tc>
          <w:tcPr>
            <w:tcW w:w="3890" w:type="dxa"/>
            <w:vAlign w:val="center"/>
          </w:tcPr>
          <w:p w14:paraId="73450483" w14:textId="77777777" w:rsidR="008A7201" w:rsidRPr="00A87783" w:rsidRDefault="008A7201" w:rsidP="008C4E3E">
            <w:pPr>
              <w:spacing w:before="0" w:after="0"/>
            </w:pPr>
            <w:r w:rsidRPr="00A87783">
              <w:t>Number of officers involved</w:t>
            </w:r>
          </w:p>
        </w:tc>
        <w:tc>
          <w:tcPr>
            <w:tcW w:w="1260" w:type="dxa"/>
          </w:tcPr>
          <w:p w14:paraId="5EB4E944" w14:textId="1B3082B8" w:rsidR="008A7201" w:rsidRPr="00A87783" w:rsidRDefault="008A7201" w:rsidP="00580642">
            <w:pPr>
              <w:spacing w:before="0" w:after="0"/>
              <w:jc w:val="center"/>
            </w:pPr>
            <w:r w:rsidRPr="00A87783">
              <w:t>19</w:t>
            </w:r>
          </w:p>
        </w:tc>
        <w:tc>
          <w:tcPr>
            <w:tcW w:w="1260" w:type="dxa"/>
          </w:tcPr>
          <w:p w14:paraId="37778C8F" w14:textId="5C02E680" w:rsidR="008A7201" w:rsidRPr="00A87783" w:rsidRDefault="008A7201" w:rsidP="00580642">
            <w:pPr>
              <w:spacing w:before="0" w:after="0"/>
              <w:jc w:val="center"/>
            </w:pPr>
            <w:r>
              <w:t>3</w:t>
            </w:r>
          </w:p>
        </w:tc>
        <w:tc>
          <w:tcPr>
            <w:tcW w:w="1260" w:type="dxa"/>
          </w:tcPr>
          <w:p w14:paraId="00E2DFE3" w14:textId="7034E248" w:rsidR="008A7201" w:rsidRDefault="008A7201" w:rsidP="00580642">
            <w:pPr>
              <w:spacing w:before="0" w:after="0"/>
              <w:jc w:val="center"/>
            </w:pPr>
            <w:r>
              <w:t>59</w:t>
            </w:r>
          </w:p>
        </w:tc>
      </w:tr>
      <w:tr w:rsidR="008A7201" w:rsidRPr="00A87783" w14:paraId="16EB9387" w14:textId="1AB3B21A" w:rsidTr="008A7201">
        <w:trPr>
          <w:trHeight w:val="288"/>
          <w:jc w:val="center"/>
        </w:trPr>
        <w:tc>
          <w:tcPr>
            <w:tcW w:w="3890" w:type="dxa"/>
            <w:vAlign w:val="center"/>
          </w:tcPr>
          <w:p w14:paraId="577A1217" w14:textId="5B1834DF" w:rsidR="008A7201" w:rsidRPr="00A87783" w:rsidRDefault="008A7201" w:rsidP="008C4E3E">
            <w:pPr>
              <w:spacing w:before="0" w:after="0"/>
            </w:pPr>
            <w:r w:rsidRPr="00A87783">
              <w:t xml:space="preserve">Most frequent hours  </w:t>
            </w:r>
          </w:p>
        </w:tc>
        <w:tc>
          <w:tcPr>
            <w:tcW w:w="1260" w:type="dxa"/>
          </w:tcPr>
          <w:p w14:paraId="2270A922" w14:textId="4A7D123E" w:rsidR="008A7201" w:rsidRPr="00A87783" w:rsidRDefault="008A7201" w:rsidP="00580642">
            <w:pPr>
              <w:spacing w:before="0" w:after="0"/>
              <w:jc w:val="center"/>
            </w:pPr>
            <w:r>
              <w:t xml:space="preserve">0001-0200 </w:t>
            </w:r>
            <w:r w:rsidRPr="00A87783">
              <w:t>2</w:t>
            </w:r>
          </w:p>
        </w:tc>
        <w:tc>
          <w:tcPr>
            <w:tcW w:w="1260" w:type="dxa"/>
          </w:tcPr>
          <w:p w14:paraId="51562310" w14:textId="4C658C87" w:rsidR="008A7201" w:rsidRPr="00A87783" w:rsidRDefault="008A7201" w:rsidP="00580642">
            <w:pPr>
              <w:spacing w:before="0" w:after="0"/>
              <w:jc w:val="center"/>
            </w:pPr>
            <w:r>
              <w:t>2201-2400 1</w:t>
            </w:r>
          </w:p>
        </w:tc>
        <w:tc>
          <w:tcPr>
            <w:tcW w:w="1260" w:type="dxa"/>
          </w:tcPr>
          <w:p w14:paraId="7AC4507B" w14:textId="30D8C8EE" w:rsidR="008A7201" w:rsidRDefault="008A7201" w:rsidP="00580642">
            <w:pPr>
              <w:spacing w:before="0" w:after="0"/>
              <w:jc w:val="center"/>
            </w:pPr>
            <w:r>
              <w:t>1401-1600 5</w:t>
            </w:r>
          </w:p>
        </w:tc>
      </w:tr>
      <w:tr w:rsidR="008A7201" w:rsidRPr="00A87783" w14:paraId="51D98365" w14:textId="58507D80" w:rsidTr="008A7201">
        <w:trPr>
          <w:trHeight w:val="288"/>
          <w:jc w:val="center"/>
        </w:trPr>
        <w:tc>
          <w:tcPr>
            <w:tcW w:w="3890" w:type="dxa"/>
            <w:vAlign w:val="center"/>
          </w:tcPr>
          <w:p w14:paraId="668770F1" w14:textId="77777777" w:rsidR="008A7201" w:rsidRPr="00A87783" w:rsidRDefault="008A7201" w:rsidP="008C4E3E">
            <w:pPr>
              <w:spacing w:before="0" w:after="0"/>
            </w:pPr>
            <w:r w:rsidRPr="00A87783">
              <w:t>Policy Compliant</w:t>
            </w:r>
          </w:p>
        </w:tc>
        <w:tc>
          <w:tcPr>
            <w:tcW w:w="1260" w:type="dxa"/>
          </w:tcPr>
          <w:p w14:paraId="66D61A75" w14:textId="613B4407" w:rsidR="008A7201" w:rsidRPr="00A87783" w:rsidRDefault="008A7201" w:rsidP="00580642">
            <w:pPr>
              <w:spacing w:before="0" w:after="0"/>
              <w:jc w:val="center"/>
            </w:pPr>
            <w:r w:rsidRPr="00A87783">
              <w:t>8</w:t>
            </w:r>
          </w:p>
        </w:tc>
        <w:tc>
          <w:tcPr>
            <w:tcW w:w="1260" w:type="dxa"/>
          </w:tcPr>
          <w:p w14:paraId="43B06E2B" w14:textId="6ECD0735" w:rsidR="008A7201" w:rsidRPr="00A87783" w:rsidRDefault="008A7201" w:rsidP="00580642">
            <w:pPr>
              <w:spacing w:before="0" w:after="0"/>
              <w:jc w:val="center"/>
            </w:pPr>
            <w:r>
              <w:t>1</w:t>
            </w:r>
          </w:p>
        </w:tc>
        <w:tc>
          <w:tcPr>
            <w:tcW w:w="1260" w:type="dxa"/>
          </w:tcPr>
          <w:p w14:paraId="22EB6EA5" w14:textId="4D6F74AB" w:rsidR="008A7201" w:rsidRDefault="008A7201" w:rsidP="00580642">
            <w:pPr>
              <w:spacing w:before="0" w:after="0"/>
              <w:jc w:val="center"/>
            </w:pPr>
            <w:r>
              <w:t>18</w:t>
            </w:r>
          </w:p>
        </w:tc>
      </w:tr>
      <w:tr w:rsidR="008A7201" w:rsidRPr="00A87783" w14:paraId="276543B7" w14:textId="3D006CEF" w:rsidTr="008A7201">
        <w:trPr>
          <w:trHeight w:val="288"/>
          <w:jc w:val="center"/>
        </w:trPr>
        <w:tc>
          <w:tcPr>
            <w:tcW w:w="3890" w:type="dxa"/>
            <w:vAlign w:val="center"/>
          </w:tcPr>
          <w:p w14:paraId="209287D8" w14:textId="77777777" w:rsidR="008A7201" w:rsidRPr="00A87783" w:rsidRDefault="008A7201" w:rsidP="008C4E3E">
            <w:pPr>
              <w:spacing w:before="0" w:after="0"/>
            </w:pPr>
            <w:r w:rsidRPr="00A87783">
              <w:t>Policy Non-Compliant</w:t>
            </w:r>
          </w:p>
        </w:tc>
        <w:tc>
          <w:tcPr>
            <w:tcW w:w="1260" w:type="dxa"/>
          </w:tcPr>
          <w:p w14:paraId="2E6BF517" w14:textId="64380D5A" w:rsidR="008A7201" w:rsidRPr="00A87783" w:rsidRDefault="008A7201" w:rsidP="00580642">
            <w:pPr>
              <w:spacing w:before="0" w:after="0"/>
              <w:jc w:val="center"/>
            </w:pPr>
            <w:r w:rsidRPr="00A87783">
              <w:t>1</w:t>
            </w:r>
          </w:p>
        </w:tc>
        <w:tc>
          <w:tcPr>
            <w:tcW w:w="1260" w:type="dxa"/>
          </w:tcPr>
          <w:p w14:paraId="454FF0F0" w14:textId="37BAFD44" w:rsidR="008A7201" w:rsidRPr="00A87783" w:rsidRDefault="0024329E" w:rsidP="00580642">
            <w:pPr>
              <w:spacing w:before="0" w:after="0"/>
              <w:jc w:val="center"/>
            </w:pPr>
            <w:r>
              <w:t>-</w:t>
            </w:r>
          </w:p>
        </w:tc>
        <w:tc>
          <w:tcPr>
            <w:tcW w:w="1260" w:type="dxa"/>
          </w:tcPr>
          <w:p w14:paraId="545FE11E" w14:textId="6B8BEE6B" w:rsidR="008A7201" w:rsidRDefault="0024329E" w:rsidP="00580642">
            <w:pPr>
              <w:spacing w:before="0" w:after="0"/>
              <w:jc w:val="center"/>
            </w:pPr>
            <w:r>
              <w:t>-</w:t>
            </w:r>
          </w:p>
        </w:tc>
      </w:tr>
      <w:tr w:rsidR="008A7201" w:rsidRPr="00A87783" w14:paraId="5985A494" w14:textId="7D4C22FF" w:rsidTr="008A7201">
        <w:trPr>
          <w:trHeight w:val="288"/>
          <w:jc w:val="center"/>
        </w:trPr>
        <w:tc>
          <w:tcPr>
            <w:tcW w:w="3890" w:type="dxa"/>
            <w:vAlign w:val="center"/>
          </w:tcPr>
          <w:p w14:paraId="72E37D9F" w14:textId="77777777" w:rsidR="008A7201" w:rsidRPr="00A87783" w:rsidRDefault="008A7201" w:rsidP="008C4E3E">
            <w:pPr>
              <w:spacing w:before="0" w:after="0"/>
            </w:pPr>
            <w:r w:rsidRPr="00A87783">
              <w:t>Pending</w:t>
            </w:r>
          </w:p>
        </w:tc>
        <w:tc>
          <w:tcPr>
            <w:tcW w:w="1260" w:type="dxa"/>
          </w:tcPr>
          <w:p w14:paraId="488B3B46" w14:textId="12DE1D4A" w:rsidR="008A7201" w:rsidRPr="00A87783" w:rsidRDefault="0024329E" w:rsidP="00580642">
            <w:pPr>
              <w:spacing w:before="0" w:after="0"/>
              <w:jc w:val="center"/>
            </w:pPr>
            <w:r>
              <w:t>-</w:t>
            </w:r>
          </w:p>
        </w:tc>
        <w:tc>
          <w:tcPr>
            <w:tcW w:w="1260" w:type="dxa"/>
          </w:tcPr>
          <w:p w14:paraId="3B58B47E" w14:textId="6A7A373A" w:rsidR="008A7201" w:rsidRPr="00A87783" w:rsidRDefault="0024329E" w:rsidP="00580642">
            <w:pPr>
              <w:spacing w:before="0" w:after="0"/>
              <w:jc w:val="center"/>
            </w:pPr>
            <w:r>
              <w:t>-</w:t>
            </w:r>
          </w:p>
        </w:tc>
        <w:tc>
          <w:tcPr>
            <w:tcW w:w="1260" w:type="dxa"/>
          </w:tcPr>
          <w:p w14:paraId="6CE78E70" w14:textId="524175C4" w:rsidR="008A7201" w:rsidRDefault="008A7201" w:rsidP="00580642">
            <w:pPr>
              <w:spacing w:before="0" w:after="0"/>
              <w:jc w:val="center"/>
            </w:pPr>
            <w:r>
              <w:t>1</w:t>
            </w:r>
          </w:p>
        </w:tc>
      </w:tr>
      <w:tr w:rsidR="008A7201" w:rsidRPr="00A87783" w14:paraId="0B7759C6" w14:textId="77777777" w:rsidTr="008A7201">
        <w:trPr>
          <w:trHeight w:val="288"/>
          <w:jc w:val="center"/>
        </w:trPr>
        <w:tc>
          <w:tcPr>
            <w:tcW w:w="3890" w:type="dxa"/>
            <w:vAlign w:val="center"/>
          </w:tcPr>
          <w:p w14:paraId="21E63E34" w14:textId="0CD6CDB5" w:rsidR="008A7201" w:rsidRPr="00A87783" w:rsidRDefault="008A7201" w:rsidP="008C4E3E">
            <w:pPr>
              <w:spacing w:before="0" w:after="0"/>
            </w:pPr>
            <w:r>
              <w:t>Deemed to be Unfounded as a Pursuit</w:t>
            </w:r>
          </w:p>
        </w:tc>
        <w:tc>
          <w:tcPr>
            <w:tcW w:w="1260" w:type="dxa"/>
          </w:tcPr>
          <w:p w14:paraId="18ED0D5C" w14:textId="5B19E068" w:rsidR="008A7201" w:rsidRPr="00A87783" w:rsidRDefault="008A7201" w:rsidP="00580642">
            <w:pPr>
              <w:spacing w:before="0" w:after="0"/>
              <w:jc w:val="center"/>
            </w:pPr>
            <w:r>
              <w:t>n/a</w:t>
            </w:r>
          </w:p>
        </w:tc>
        <w:tc>
          <w:tcPr>
            <w:tcW w:w="1260" w:type="dxa"/>
          </w:tcPr>
          <w:p w14:paraId="59264C4D" w14:textId="323450C8" w:rsidR="008A7201" w:rsidRDefault="008A7201" w:rsidP="00580642">
            <w:pPr>
              <w:spacing w:before="0" w:after="0"/>
              <w:jc w:val="center"/>
            </w:pPr>
            <w:r>
              <w:t>n/a</w:t>
            </w:r>
          </w:p>
        </w:tc>
        <w:tc>
          <w:tcPr>
            <w:tcW w:w="1260" w:type="dxa"/>
          </w:tcPr>
          <w:p w14:paraId="2D4A038F" w14:textId="0D1FC948" w:rsidR="008A7201" w:rsidRDefault="008A7201" w:rsidP="00580642">
            <w:pPr>
              <w:spacing w:before="0" w:after="0"/>
              <w:jc w:val="center"/>
            </w:pPr>
            <w:r>
              <w:t>1*</w:t>
            </w:r>
          </w:p>
        </w:tc>
      </w:tr>
      <w:tr w:rsidR="008A7201" w:rsidRPr="00A87783" w14:paraId="0697AAC4" w14:textId="59CF4B12" w:rsidTr="008A7201">
        <w:trPr>
          <w:trHeight w:val="288"/>
          <w:jc w:val="center"/>
        </w:trPr>
        <w:tc>
          <w:tcPr>
            <w:tcW w:w="3890" w:type="dxa"/>
            <w:vAlign w:val="center"/>
          </w:tcPr>
          <w:p w14:paraId="0ED43B3C" w14:textId="77777777" w:rsidR="008A7201" w:rsidRPr="00A87783" w:rsidRDefault="008A7201" w:rsidP="008C4E3E">
            <w:pPr>
              <w:spacing w:before="0" w:after="0"/>
            </w:pPr>
            <w:r w:rsidRPr="00A87783">
              <w:t>Injuries: Officer</w:t>
            </w:r>
          </w:p>
        </w:tc>
        <w:tc>
          <w:tcPr>
            <w:tcW w:w="1260" w:type="dxa"/>
          </w:tcPr>
          <w:p w14:paraId="1C3436C9" w14:textId="3EEBDFBC" w:rsidR="008A7201" w:rsidRPr="00A87783" w:rsidRDefault="0024329E" w:rsidP="00580642">
            <w:pPr>
              <w:spacing w:before="0" w:after="0"/>
              <w:jc w:val="center"/>
            </w:pPr>
            <w:r>
              <w:t>-</w:t>
            </w:r>
          </w:p>
        </w:tc>
        <w:tc>
          <w:tcPr>
            <w:tcW w:w="1260" w:type="dxa"/>
          </w:tcPr>
          <w:p w14:paraId="5964A39E" w14:textId="2150474C" w:rsidR="008A7201" w:rsidRPr="00A87783" w:rsidRDefault="0024329E" w:rsidP="00580642">
            <w:pPr>
              <w:spacing w:before="0" w:after="0"/>
              <w:jc w:val="center"/>
            </w:pPr>
            <w:r>
              <w:t>-</w:t>
            </w:r>
          </w:p>
        </w:tc>
        <w:tc>
          <w:tcPr>
            <w:tcW w:w="1260" w:type="dxa"/>
          </w:tcPr>
          <w:p w14:paraId="007FDD84" w14:textId="7838BB78" w:rsidR="008A7201" w:rsidRDefault="0024329E" w:rsidP="00580642">
            <w:pPr>
              <w:spacing w:before="0" w:after="0"/>
              <w:jc w:val="center"/>
            </w:pPr>
            <w:r>
              <w:t>-</w:t>
            </w:r>
          </w:p>
        </w:tc>
      </w:tr>
      <w:tr w:rsidR="008A7201" w:rsidRPr="00715AC5" w14:paraId="37BEA26D" w14:textId="4461BA9D" w:rsidTr="008A7201">
        <w:trPr>
          <w:trHeight w:val="288"/>
          <w:jc w:val="center"/>
        </w:trPr>
        <w:tc>
          <w:tcPr>
            <w:tcW w:w="3890" w:type="dxa"/>
            <w:vAlign w:val="center"/>
          </w:tcPr>
          <w:p w14:paraId="037ECD31" w14:textId="77777777" w:rsidR="008A7201" w:rsidRPr="00715AC5" w:rsidRDefault="008A7201" w:rsidP="008C4E3E">
            <w:pPr>
              <w:spacing w:before="0" w:after="0"/>
            </w:pPr>
            <w:r w:rsidRPr="00715AC5">
              <w:t>Injuries: Suspects</w:t>
            </w:r>
          </w:p>
        </w:tc>
        <w:tc>
          <w:tcPr>
            <w:tcW w:w="1260" w:type="dxa"/>
          </w:tcPr>
          <w:p w14:paraId="5085807F" w14:textId="24AAF2A8" w:rsidR="008A7201" w:rsidRPr="00715AC5" w:rsidRDefault="0024329E" w:rsidP="00580642">
            <w:pPr>
              <w:spacing w:before="0" w:after="0"/>
              <w:jc w:val="center"/>
            </w:pPr>
            <w:r>
              <w:t>-</w:t>
            </w:r>
          </w:p>
        </w:tc>
        <w:tc>
          <w:tcPr>
            <w:tcW w:w="1260" w:type="dxa"/>
          </w:tcPr>
          <w:p w14:paraId="57DC85D1" w14:textId="33F4F8F4" w:rsidR="008A7201" w:rsidRPr="00715AC5" w:rsidRDefault="0024329E" w:rsidP="00580642">
            <w:pPr>
              <w:spacing w:before="0" w:after="0"/>
              <w:jc w:val="center"/>
            </w:pPr>
            <w:r>
              <w:t>-</w:t>
            </w:r>
          </w:p>
        </w:tc>
        <w:tc>
          <w:tcPr>
            <w:tcW w:w="1260" w:type="dxa"/>
          </w:tcPr>
          <w:p w14:paraId="7440F293" w14:textId="2A8CDE6C" w:rsidR="008A7201" w:rsidRDefault="008A7201" w:rsidP="00580642">
            <w:pPr>
              <w:spacing w:before="0" w:after="0"/>
              <w:jc w:val="center"/>
            </w:pPr>
            <w:r>
              <w:t>1</w:t>
            </w:r>
          </w:p>
        </w:tc>
      </w:tr>
      <w:tr w:rsidR="008A7201" w:rsidRPr="00715AC5" w14:paraId="32487F73" w14:textId="7AA6D906" w:rsidTr="008A7201">
        <w:trPr>
          <w:trHeight w:val="288"/>
          <w:jc w:val="center"/>
        </w:trPr>
        <w:tc>
          <w:tcPr>
            <w:tcW w:w="3890" w:type="dxa"/>
            <w:vAlign w:val="center"/>
          </w:tcPr>
          <w:p w14:paraId="2769FEB9" w14:textId="77777777" w:rsidR="008A7201" w:rsidRPr="00715AC5" w:rsidRDefault="008A7201" w:rsidP="008C4E3E">
            <w:pPr>
              <w:spacing w:before="0" w:after="0"/>
            </w:pPr>
            <w:r w:rsidRPr="00715AC5">
              <w:t>Injuries: Third Party</w:t>
            </w:r>
          </w:p>
        </w:tc>
        <w:tc>
          <w:tcPr>
            <w:tcW w:w="1260" w:type="dxa"/>
          </w:tcPr>
          <w:p w14:paraId="7AF434AD" w14:textId="2C530811" w:rsidR="008A7201" w:rsidRPr="00715AC5" w:rsidRDefault="0024329E" w:rsidP="00580642">
            <w:pPr>
              <w:spacing w:before="0" w:after="0"/>
              <w:jc w:val="center"/>
            </w:pPr>
            <w:r>
              <w:t>-</w:t>
            </w:r>
          </w:p>
        </w:tc>
        <w:tc>
          <w:tcPr>
            <w:tcW w:w="1260" w:type="dxa"/>
          </w:tcPr>
          <w:p w14:paraId="0DBC5F14" w14:textId="25C2B917" w:rsidR="008A7201" w:rsidRPr="00715AC5" w:rsidRDefault="0024329E" w:rsidP="00580642">
            <w:pPr>
              <w:spacing w:before="0" w:after="0"/>
              <w:jc w:val="center"/>
            </w:pPr>
            <w:r>
              <w:t>-</w:t>
            </w:r>
          </w:p>
        </w:tc>
        <w:tc>
          <w:tcPr>
            <w:tcW w:w="1260" w:type="dxa"/>
          </w:tcPr>
          <w:p w14:paraId="6DE0C379" w14:textId="793DAA20" w:rsidR="008A7201" w:rsidRDefault="008A7201" w:rsidP="00580642">
            <w:pPr>
              <w:spacing w:before="0" w:after="0"/>
              <w:jc w:val="center"/>
            </w:pPr>
            <w:r>
              <w:t>1</w:t>
            </w:r>
          </w:p>
        </w:tc>
      </w:tr>
    </w:tbl>
    <w:p w14:paraId="07C314FF" w14:textId="5AA645B4" w:rsidR="002C0C1A" w:rsidRPr="00A87783" w:rsidRDefault="008A7201" w:rsidP="003546B1">
      <w:pPr>
        <w:autoSpaceDE w:val="0"/>
        <w:autoSpaceDN w:val="0"/>
        <w:spacing w:before="240" w:after="240"/>
        <w:jc w:val="both"/>
        <w:rPr>
          <w:rFonts w:eastAsia="Arial Unicode MS"/>
          <w:b/>
          <w:color w:val="FF0000"/>
        </w:rPr>
      </w:pPr>
      <w:r>
        <w:rPr>
          <w:rFonts w:eastAsia="Arial Unicode MS"/>
        </w:rPr>
        <w:t xml:space="preserve">All the </w:t>
      </w:r>
      <w:r w:rsidR="00A64311" w:rsidRPr="00715AC5">
        <w:rPr>
          <w:rFonts w:eastAsia="Arial Unicode MS"/>
        </w:rPr>
        <w:t>pursuit</w:t>
      </w:r>
      <w:r>
        <w:rPr>
          <w:rFonts w:eastAsia="Arial Unicode MS"/>
        </w:rPr>
        <w:t>s</w:t>
      </w:r>
      <w:r w:rsidR="00A64311" w:rsidRPr="00715AC5">
        <w:rPr>
          <w:rFonts w:eastAsia="Arial Unicode MS"/>
        </w:rPr>
        <w:t xml:space="preserve"> </w:t>
      </w:r>
      <w:r w:rsidR="00672D2D">
        <w:rPr>
          <w:rFonts w:eastAsia="Arial Unicode MS"/>
        </w:rPr>
        <w:t>in 202</w:t>
      </w:r>
      <w:r>
        <w:rPr>
          <w:rFonts w:eastAsia="Arial Unicode MS"/>
        </w:rPr>
        <w:t>2</w:t>
      </w:r>
      <w:r w:rsidR="00672D2D">
        <w:rPr>
          <w:rFonts w:eastAsia="Arial Unicode MS"/>
        </w:rPr>
        <w:t xml:space="preserve"> </w:t>
      </w:r>
      <w:r w:rsidR="00A64311" w:rsidRPr="00715AC5">
        <w:rPr>
          <w:rFonts w:eastAsia="Arial Unicode MS"/>
        </w:rPr>
        <w:t>took place within the City of Tacoma</w:t>
      </w:r>
      <w:r>
        <w:rPr>
          <w:rFonts w:eastAsia="Arial Unicode MS"/>
        </w:rPr>
        <w:t xml:space="preserve">. One </w:t>
      </w:r>
      <w:r w:rsidR="003546B1">
        <w:rPr>
          <w:rFonts w:eastAsia="Arial Unicode MS"/>
        </w:rPr>
        <w:t xml:space="preserve">pursuit </w:t>
      </w:r>
      <w:r>
        <w:rPr>
          <w:rFonts w:eastAsia="Arial Unicode MS"/>
        </w:rPr>
        <w:t>involved another police agency – the Federal Way Police Department.</w:t>
      </w:r>
      <w:r w:rsidR="00BF0762">
        <w:rPr>
          <w:rFonts w:eastAsia="Arial Unicode MS"/>
        </w:rPr>
        <w:t xml:space="preserve"> </w:t>
      </w:r>
    </w:p>
    <w:p w14:paraId="686CB1EA" w14:textId="1FEDDF1F" w:rsidR="00075BD5" w:rsidRPr="00715AC5" w:rsidRDefault="00A64311" w:rsidP="003C7A12">
      <w:pPr>
        <w:autoSpaceDE w:val="0"/>
        <w:autoSpaceDN w:val="0"/>
        <w:spacing w:after="240"/>
        <w:jc w:val="both"/>
        <w:rPr>
          <w:rFonts w:eastAsia="Arial Unicode MS"/>
          <w:b/>
        </w:rPr>
      </w:pPr>
      <w:r w:rsidRPr="00715AC5">
        <w:rPr>
          <w:rFonts w:eastAsia="Arial Unicode MS"/>
          <w:b/>
        </w:rPr>
        <w:t>Reason</w:t>
      </w:r>
      <w:r w:rsidR="00075BD5" w:rsidRPr="00715AC5">
        <w:rPr>
          <w:rFonts w:eastAsia="Arial Unicode MS"/>
          <w:b/>
        </w:rPr>
        <w:t xml:space="preserve"> </w:t>
      </w:r>
      <w:r w:rsidRPr="00715AC5">
        <w:rPr>
          <w:rFonts w:eastAsia="Arial Unicode MS"/>
          <w:b/>
        </w:rPr>
        <w:t>Initiated</w:t>
      </w:r>
      <w:r w:rsidR="00075BD5" w:rsidRPr="00715AC5">
        <w:rPr>
          <w:rFonts w:eastAsia="Arial Unicode MS"/>
          <w:b/>
        </w:rPr>
        <w:t>:</w:t>
      </w:r>
    </w:p>
    <w:tbl>
      <w:tblPr>
        <w:tblW w:w="42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952"/>
        <w:gridCol w:w="954"/>
        <w:gridCol w:w="952"/>
        <w:gridCol w:w="954"/>
        <w:gridCol w:w="952"/>
        <w:gridCol w:w="951"/>
      </w:tblGrid>
      <w:tr w:rsidR="008A7201" w:rsidRPr="00A87783" w14:paraId="784D7289" w14:textId="6E8147BC" w:rsidTr="00FE0F43">
        <w:trPr>
          <w:trHeight w:val="288"/>
          <w:jc w:val="center"/>
        </w:trPr>
        <w:tc>
          <w:tcPr>
            <w:tcW w:w="1591" w:type="pct"/>
            <w:shd w:val="clear" w:color="auto" w:fill="D9D9D9" w:themeFill="background1" w:themeFillShade="D9"/>
          </w:tcPr>
          <w:p w14:paraId="422DFF59" w14:textId="77777777" w:rsidR="008A7201" w:rsidRPr="00715AC5" w:rsidRDefault="008A7201" w:rsidP="008E4A52">
            <w:pPr>
              <w:autoSpaceDE w:val="0"/>
              <w:autoSpaceDN w:val="0"/>
              <w:spacing w:before="0" w:after="0"/>
              <w:jc w:val="center"/>
              <w:rPr>
                <w:rFonts w:eastAsia="Arial Unicode MS"/>
                <w:b/>
              </w:rPr>
            </w:pPr>
          </w:p>
        </w:tc>
        <w:tc>
          <w:tcPr>
            <w:tcW w:w="1137" w:type="pct"/>
            <w:gridSpan w:val="2"/>
            <w:shd w:val="clear" w:color="auto" w:fill="D9D9D9" w:themeFill="background1" w:themeFillShade="D9"/>
          </w:tcPr>
          <w:p w14:paraId="51C7C7EB" w14:textId="6CE5AAA9" w:rsidR="008A7201" w:rsidRPr="00715AC5" w:rsidRDefault="008A7201" w:rsidP="008E4A52">
            <w:pPr>
              <w:autoSpaceDE w:val="0"/>
              <w:autoSpaceDN w:val="0"/>
              <w:spacing w:before="0" w:after="0"/>
              <w:jc w:val="center"/>
              <w:rPr>
                <w:rFonts w:eastAsia="Arial Unicode MS"/>
                <w:b/>
              </w:rPr>
            </w:pPr>
            <w:r w:rsidRPr="00715AC5">
              <w:rPr>
                <w:rFonts w:eastAsia="Arial Unicode MS"/>
                <w:b/>
              </w:rPr>
              <w:t>2020</w:t>
            </w:r>
          </w:p>
        </w:tc>
        <w:tc>
          <w:tcPr>
            <w:tcW w:w="1137" w:type="pct"/>
            <w:gridSpan w:val="2"/>
            <w:shd w:val="clear" w:color="auto" w:fill="D9D9D9" w:themeFill="background1" w:themeFillShade="D9"/>
          </w:tcPr>
          <w:p w14:paraId="7C07735A" w14:textId="1C420073" w:rsidR="008A7201" w:rsidRPr="00715AC5" w:rsidRDefault="008A7201" w:rsidP="008E4A52">
            <w:pPr>
              <w:autoSpaceDE w:val="0"/>
              <w:autoSpaceDN w:val="0"/>
              <w:spacing w:before="0" w:after="0"/>
              <w:jc w:val="center"/>
              <w:rPr>
                <w:rFonts w:eastAsia="Arial Unicode MS"/>
                <w:b/>
              </w:rPr>
            </w:pPr>
            <w:r w:rsidRPr="00AE61FC">
              <w:rPr>
                <w:rFonts w:eastAsia="Arial Unicode MS"/>
                <w:b/>
              </w:rPr>
              <w:t>2021</w:t>
            </w:r>
          </w:p>
        </w:tc>
        <w:tc>
          <w:tcPr>
            <w:tcW w:w="1135" w:type="pct"/>
            <w:gridSpan w:val="2"/>
            <w:shd w:val="clear" w:color="auto" w:fill="D9D9D9" w:themeFill="background1" w:themeFillShade="D9"/>
          </w:tcPr>
          <w:p w14:paraId="70A9F40D" w14:textId="17C23911" w:rsidR="008A7201" w:rsidRPr="00AE61FC" w:rsidRDefault="008A7201" w:rsidP="008E4A52">
            <w:pPr>
              <w:autoSpaceDE w:val="0"/>
              <w:autoSpaceDN w:val="0"/>
              <w:spacing w:before="0" w:after="0"/>
              <w:jc w:val="center"/>
              <w:rPr>
                <w:rFonts w:eastAsia="Arial Unicode MS"/>
                <w:b/>
              </w:rPr>
            </w:pPr>
            <w:r>
              <w:rPr>
                <w:rFonts w:eastAsia="Arial Unicode MS"/>
                <w:b/>
              </w:rPr>
              <w:t>2022</w:t>
            </w:r>
          </w:p>
        </w:tc>
      </w:tr>
      <w:tr w:rsidR="008A7201" w:rsidRPr="00A87783" w14:paraId="4B56ECBD" w14:textId="43048132" w:rsidTr="00FE0F43">
        <w:trPr>
          <w:trHeight w:val="288"/>
          <w:jc w:val="center"/>
        </w:trPr>
        <w:tc>
          <w:tcPr>
            <w:tcW w:w="1591" w:type="pct"/>
            <w:shd w:val="clear" w:color="auto" w:fill="auto"/>
          </w:tcPr>
          <w:p w14:paraId="2CF23A66" w14:textId="77777777" w:rsidR="008A7201" w:rsidRPr="00715AC5" w:rsidRDefault="008A7201" w:rsidP="0068755B">
            <w:pPr>
              <w:autoSpaceDE w:val="0"/>
              <w:autoSpaceDN w:val="0"/>
              <w:spacing w:before="0" w:after="0"/>
              <w:jc w:val="both"/>
              <w:rPr>
                <w:rFonts w:eastAsia="Arial Unicode MS"/>
              </w:rPr>
            </w:pPr>
            <w:r w:rsidRPr="00715AC5">
              <w:rPr>
                <w:rFonts w:eastAsia="Arial Unicode MS"/>
              </w:rPr>
              <w:t>Assist outside agency</w:t>
            </w:r>
          </w:p>
        </w:tc>
        <w:tc>
          <w:tcPr>
            <w:tcW w:w="568" w:type="pct"/>
            <w:shd w:val="clear" w:color="auto" w:fill="auto"/>
          </w:tcPr>
          <w:p w14:paraId="02A692B5" w14:textId="74EDB260" w:rsidR="008A7201" w:rsidRPr="00715AC5" w:rsidRDefault="008A7201" w:rsidP="0068755B">
            <w:pPr>
              <w:autoSpaceDE w:val="0"/>
              <w:autoSpaceDN w:val="0"/>
              <w:spacing w:before="0" w:after="0"/>
              <w:jc w:val="center"/>
              <w:rPr>
                <w:rFonts w:eastAsia="Arial Unicode MS"/>
              </w:rPr>
            </w:pPr>
            <w:r w:rsidRPr="00715AC5">
              <w:rPr>
                <w:rFonts w:eastAsia="Arial Unicode MS"/>
              </w:rPr>
              <w:t>1</w:t>
            </w:r>
          </w:p>
        </w:tc>
        <w:tc>
          <w:tcPr>
            <w:tcW w:w="569" w:type="pct"/>
          </w:tcPr>
          <w:p w14:paraId="13297053" w14:textId="2B6DB3C7" w:rsidR="008A7201" w:rsidRPr="00715AC5" w:rsidRDefault="008A7201" w:rsidP="0068755B">
            <w:pPr>
              <w:autoSpaceDE w:val="0"/>
              <w:autoSpaceDN w:val="0"/>
              <w:spacing w:before="0" w:after="0"/>
              <w:jc w:val="center"/>
              <w:rPr>
                <w:rFonts w:eastAsia="Arial Unicode MS"/>
              </w:rPr>
            </w:pPr>
            <w:r w:rsidRPr="00715AC5">
              <w:rPr>
                <w:rFonts w:eastAsia="Arial Unicode MS"/>
              </w:rPr>
              <w:t>11%</w:t>
            </w:r>
          </w:p>
        </w:tc>
        <w:tc>
          <w:tcPr>
            <w:tcW w:w="568" w:type="pct"/>
          </w:tcPr>
          <w:p w14:paraId="2F421290" w14:textId="25058E6F" w:rsidR="008A7201" w:rsidRPr="00715AC5" w:rsidRDefault="0024329E" w:rsidP="0068755B">
            <w:pPr>
              <w:autoSpaceDE w:val="0"/>
              <w:autoSpaceDN w:val="0"/>
              <w:spacing w:before="0" w:after="0"/>
              <w:jc w:val="center"/>
              <w:rPr>
                <w:rFonts w:eastAsia="Arial Unicode MS"/>
              </w:rPr>
            </w:pPr>
            <w:r>
              <w:t>-</w:t>
            </w:r>
          </w:p>
        </w:tc>
        <w:tc>
          <w:tcPr>
            <w:tcW w:w="569" w:type="pct"/>
          </w:tcPr>
          <w:p w14:paraId="0D8707E1" w14:textId="0778C86F" w:rsidR="008A7201" w:rsidRPr="00715AC5" w:rsidRDefault="0024329E" w:rsidP="0068755B">
            <w:pPr>
              <w:autoSpaceDE w:val="0"/>
              <w:autoSpaceDN w:val="0"/>
              <w:spacing w:before="0" w:after="0"/>
              <w:jc w:val="center"/>
              <w:rPr>
                <w:rFonts w:eastAsia="Arial Unicode MS"/>
              </w:rPr>
            </w:pPr>
            <w:r>
              <w:t>-</w:t>
            </w:r>
          </w:p>
        </w:tc>
        <w:tc>
          <w:tcPr>
            <w:tcW w:w="568" w:type="pct"/>
          </w:tcPr>
          <w:p w14:paraId="0160149D" w14:textId="3DBF076B" w:rsidR="008A7201" w:rsidRDefault="008A7201" w:rsidP="0068755B">
            <w:pPr>
              <w:autoSpaceDE w:val="0"/>
              <w:autoSpaceDN w:val="0"/>
              <w:spacing w:before="0" w:after="0"/>
              <w:jc w:val="center"/>
              <w:rPr>
                <w:rFonts w:eastAsia="Arial Unicode MS"/>
              </w:rPr>
            </w:pPr>
            <w:r>
              <w:rPr>
                <w:rFonts w:eastAsia="Arial Unicode MS"/>
              </w:rPr>
              <w:t>1</w:t>
            </w:r>
          </w:p>
        </w:tc>
        <w:tc>
          <w:tcPr>
            <w:tcW w:w="567" w:type="pct"/>
          </w:tcPr>
          <w:p w14:paraId="1EDD395A" w14:textId="7B7923DA" w:rsidR="008A7201" w:rsidRDefault="008A7201" w:rsidP="0068755B">
            <w:pPr>
              <w:autoSpaceDE w:val="0"/>
              <w:autoSpaceDN w:val="0"/>
              <w:spacing w:before="0" w:after="0"/>
              <w:jc w:val="center"/>
              <w:rPr>
                <w:rFonts w:eastAsia="Arial Unicode MS"/>
              </w:rPr>
            </w:pPr>
            <w:r>
              <w:rPr>
                <w:rFonts w:eastAsia="Arial Unicode MS"/>
              </w:rPr>
              <w:t>5%</w:t>
            </w:r>
          </w:p>
        </w:tc>
      </w:tr>
      <w:tr w:rsidR="008A7201" w:rsidRPr="00A87783" w14:paraId="7CA0CAD4" w14:textId="27EDF189" w:rsidTr="00FE0F43">
        <w:trPr>
          <w:trHeight w:val="288"/>
          <w:jc w:val="center"/>
        </w:trPr>
        <w:tc>
          <w:tcPr>
            <w:tcW w:w="1591" w:type="pct"/>
            <w:shd w:val="clear" w:color="auto" w:fill="auto"/>
          </w:tcPr>
          <w:p w14:paraId="60C4F756" w14:textId="4C3A5346" w:rsidR="008A7201" w:rsidRPr="00715AC5" w:rsidRDefault="008A7201" w:rsidP="0068755B">
            <w:pPr>
              <w:autoSpaceDE w:val="0"/>
              <w:autoSpaceDN w:val="0"/>
              <w:spacing w:before="0" w:after="0"/>
              <w:jc w:val="both"/>
              <w:rPr>
                <w:rFonts w:eastAsia="Arial Unicode MS"/>
              </w:rPr>
            </w:pPr>
            <w:r w:rsidRPr="00715AC5">
              <w:rPr>
                <w:rFonts w:eastAsia="Arial Unicode MS"/>
              </w:rPr>
              <w:t>Felony – Person</w:t>
            </w:r>
          </w:p>
        </w:tc>
        <w:tc>
          <w:tcPr>
            <w:tcW w:w="568" w:type="pct"/>
            <w:shd w:val="clear" w:color="auto" w:fill="auto"/>
          </w:tcPr>
          <w:p w14:paraId="757DF805" w14:textId="3A01E791" w:rsidR="008A7201" w:rsidRPr="00715AC5" w:rsidRDefault="008A7201" w:rsidP="0068755B">
            <w:pPr>
              <w:autoSpaceDE w:val="0"/>
              <w:autoSpaceDN w:val="0"/>
              <w:spacing w:before="0" w:after="0"/>
              <w:jc w:val="center"/>
              <w:rPr>
                <w:rFonts w:eastAsia="Arial Unicode MS"/>
              </w:rPr>
            </w:pPr>
            <w:r w:rsidRPr="00715AC5">
              <w:rPr>
                <w:rFonts w:eastAsia="Arial Unicode MS"/>
              </w:rPr>
              <w:t>7</w:t>
            </w:r>
          </w:p>
        </w:tc>
        <w:tc>
          <w:tcPr>
            <w:tcW w:w="569" w:type="pct"/>
          </w:tcPr>
          <w:p w14:paraId="62EAEB10" w14:textId="207B745E" w:rsidR="008A7201" w:rsidRPr="00715AC5" w:rsidRDefault="008A7201" w:rsidP="0068755B">
            <w:pPr>
              <w:autoSpaceDE w:val="0"/>
              <w:autoSpaceDN w:val="0"/>
              <w:spacing w:before="0" w:after="0"/>
              <w:jc w:val="center"/>
              <w:rPr>
                <w:rFonts w:eastAsia="Arial Unicode MS"/>
              </w:rPr>
            </w:pPr>
            <w:r w:rsidRPr="00715AC5">
              <w:rPr>
                <w:rFonts w:eastAsia="Arial Unicode MS"/>
              </w:rPr>
              <w:t>78%</w:t>
            </w:r>
          </w:p>
        </w:tc>
        <w:tc>
          <w:tcPr>
            <w:tcW w:w="568" w:type="pct"/>
          </w:tcPr>
          <w:p w14:paraId="30E2EB5E" w14:textId="441A08B7" w:rsidR="008A7201" w:rsidRPr="00715AC5" w:rsidRDefault="008A7201" w:rsidP="0068755B">
            <w:pPr>
              <w:autoSpaceDE w:val="0"/>
              <w:autoSpaceDN w:val="0"/>
              <w:spacing w:before="0" w:after="0"/>
              <w:jc w:val="center"/>
              <w:rPr>
                <w:rFonts w:eastAsia="Arial Unicode MS"/>
              </w:rPr>
            </w:pPr>
            <w:r>
              <w:rPr>
                <w:rFonts w:eastAsia="Arial Unicode MS"/>
              </w:rPr>
              <w:t>1</w:t>
            </w:r>
          </w:p>
        </w:tc>
        <w:tc>
          <w:tcPr>
            <w:tcW w:w="569" w:type="pct"/>
          </w:tcPr>
          <w:p w14:paraId="673FCAEF" w14:textId="0C7F6448" w:rsidR="008A7201" w:rsidRPr="00715AC5" w:rsidRDefault="008A7201" w:rsidP="0068755B">
            <w:pPr>
              <w:autoSpaceDE w:val="0"/>
              <w:autoSpaceDN w:val="0"/>
              <w:spacing w:before="0" w:after="0"/>
              <w:jc w:val="center"/>
              <w:rPr>
                <w:rFonts w:eastAsia="Arial Unicode MS"/>
              </w:rPr>
            </w:pPr>
            <w:r>
              <w:rPr>
                <w:rFonts w:eastAsia="Arial Unicode MS"/>
              </w:rPr>
              <w:t>100%</w:t>
            </w:r>
          </w:p>
        </w:tc>
        <w:tc>
          <w:tcPr>
            <w:tcW w:w="568" w:type="pct"/>
          </w:tcPr>
          <w:p w14:paraId="0A73B501" w14:textId="5D6775BE" w:rsidR="00FE0F43" w:rsidRDefault="00FE0F43" w:rsidP="00FE0F43">
            <w:pPr>
              <w:autoSpaceDE w:val="0"/>
              <w:autoSpaceDN w:val="0"/>
              <w:spacing w:before="0" w:after="0"/>
              <w:jc w:val="center"/>
              <w:rPr>
                <w:rFonts w:eastAsia="Arial Unicode MS"/>
              </w:rPr>
            </w:pPr>
            <w:r>
              <w:rPr>
                <w:rFonts w:eastAsia="Arial Unicode MS"/>
              </w:rPr>
              <w:t>18</w:t>
            </w:r>
          </w:p>
        </w:tc>
        <w:tc>
          <w:tcPr>
            <w:tcW w:w="567" w:type="pct"/>
          </w:tcPr>
          <w:p w14:paraId="6E57E551" w14:textId="48CB6CFC" w:rsidR="008A7201" w:rsidRDefault="00FE0F43" w:rsidP="0068755B">
            <w:pPr>
              <w:autoSpaceDE w:val="0"/>
              <w:autoSpaceDN w:val="0"/>
              <w:spacing w:before="0" w:after="0"/>
              <w:jc w:val="center"/>
              <w:rPr>
                <w:rFonts w:eastAsia="Arial Unicode MS"/>
              </w:rPr>
            </w:pPr>
            <w:r>
              <w:rPr>
                <w:rFonts w:eastAsia="Arial Unicode MS"/>
              </w:rPr>
              <w:t>90%</w:t>
            </w:r>
            <w:r w:rsidR="009B7522">
              <w:rPr>
                <w:rFonts w:eastAsia="Arial Unicode MS"/>
              </w:rPr>
              <w:t xml:space="preserve"> </w:t>
            </w:r>
          </w:p>
        </w:tc>
      </w:tr>
      <w:tr w:rsidR="008A7201" w:rsidRPr="00A87783" w14:paraId="1ECD6B10" w14:textId="3D053861" w:rsidTr="00FE0F43">
        <w:trPr>
          <w:trHeight w:val="288"/>
          <w:jc w:val="center"/>
        </w:trPr>
        <w:tc>
          <w:tcPr>
            <w:tcW w:w="1591" w:type="pct"/>
            <w:shd w:val="clear" w:color="auto" w:fill="auto"/>
          </w:tcPr>
          <w:p w14:paraId="399EE633" w14:textId="4573C7EA" w:rsidR="008A7201" w:rsidRPr="00715AC5" w:rsidRDefault="008A7201" w:rsidP="0068755B">
            <w:pPr>
              <w:autoSpaceDE w:val="0"/>
              <w:autoSpaceDN w:val="0"/>
              <w:spacing w:before="0" w:after="0"/>
              <w:jc w:val="both"/>
              <w:rPr>
                <w:rFonts w:eastAsia="Arial Unicode MS"/>
              </w:rPr>
            </w:pPr>
            <w:r w:rsidRPr="00715AC5">
              <w:rPr>
                <w:rFonts w:eastAsia="Arial Unicode MS"/>
              </w:rPr>
              <w:t>Felony – Property</w:t>
            </w:r>
          </w:p>
        </w:tc>
        <w:tc>
          <w:tcPr>
            <w:tcW w:w="568" w:type="pct"/>
            <w:shd w:val="clear" w:color="auto" w:fill="auto"/>
          </w:tcPr>
          <w:p w14:paraId="215040AA" w14:textId="42682CBE" w:rsidR="008A7201" w:rsidRPr="00715AC5" w:rsidRDefault="0024329E" w:rsidP="0068755B">
            <w:pPr>
              <w:autoSpaceDE w:val="0"/>
              <w:autoSpaceDN w:val="0"/>
              <w:spacing w:before="0" w:after="0"/>
              <w:jc w:val="center"/>
              <w:rPr>
                <w:rFonts w:eastAsia="Arial Unicode MS"/>
              </w:rPr>
            </w:pPr>
            <w:r>
              <w:t>-</w:t>
            </w:r>
          </w:p>
        </w:tc>
        <w:tc>
          <w:tcPr>
            <w:tcW w:w="569" w:type="pct"/>
          </w:tcPr>
          <w:p w14:paraId="23964BD9" w14:textId="6AB1753D" w:rsidR="008A7201" w:rsidRPr="00715AC5" w:rsidRDefault="0024329E" w:rsidP="008E4A52">
            <w:pPr>
              <w:autoSpaceDE w:val="0"/>
              <w:autoSpaceDN w:val="0"/>
              <w:spacing w:before="0" w:after="0"/>
              <w:jc w:val="center"/>
              <w:rPr>
                <w:rFonts w:eastAsia="Arial Unicode MS"/>
              </w:rPr>
            </w:pPr>
            <w:r>
              <w:t>-</w:t>
            </w:r>
          </w:p>
        </w:tc>
        <w:tc>
          <w:tcPr>
            <w:tcW w:w="568" w:type="pct"/>
          </w:tcPr>
          <w:p w14:paraId="4CCF8F5E" w14:textId="6D863377" w:rsidR="008A7201" w:rsidRPr="00715AC5" w:rsidRDefault="0024329E" w:rsidP="008E4A52">
            <w:pPr>
              <w:autoSpaceDE w:val="0"/>
              <w:autoSpaceDN w:val="0"/>
              <w:spacing w:before="0" w:after="0"/>
              <w:jc w:val="center"/>
              <w:rPr>
                <w:rFonts w:eastAsia="Arial Unicode MS"/>
              </w:rPr>
            </w:pPr>
            <w:r>
              <w:t>-</w:t>
            </w:r>
          </w:p>
        </w:tc>
        <w:tc>
          <w:tcPr>
            <w:tcW w:w="569" w:type="pct"/>
          </w:tcPr>
          <w:p w14:paraId="187D96EF" w14:textId="15C46115" w:rsidR="008A7201" w:rsidRPr="00715AC5" w:rsidRDefault="0024329E" w:rsidP="008E4A52">
            <w:pPr>
              <w:autoSpaceDE w:val="0"/>
              <w:autoSpaceDN w:val="0"/>
              <w:spacing w:before="0" w:after="0"/>
              <w:jc w:val="center"/>
              <w:rPr>
                <w:rFonts w:eastAsia="Arial Unicode MS"/>
              </w:rPr>
            </w:pPr>
            <w:r>
              <w:t>-</w:t>
            </w:r>
          </w:p>
        </w:tc>
        <w:tc>
          <w:tcPr>
            <w:tcW w:w="568" w:type="pct"/>
          </w:tcPr>
          <w:p w14:paraId="0514050A" w14:textId="557BE9D0" w:rsidR="008A7201" w:rsidRDefault="0024329E" w:rsidP="008E4A52">
            <w:pPr>
              <w:autoSpaceDE w:val="0"/>
              <w:autoSpaceDN w:val="0"/>
              <w:spacing w:before="0" w:after="0"/>
              <w:jc w:val="center"/>
              <w:rPr>
                <w:rFonts w:eastAsia="Arial Unicode MS"/>
              </w:rPr>
            </w:pPr>
            <w:r>
              <w:t>-</w:t>
            </w:r>
          </w:p>
        </w:tc>
        <w:tc>
          <w:tcPr>
            <w:tcW w:w="567" w:type="pct"/>
          </w:tcPr>
          <w:p w14:paraId="0C50C712" w14:textId="6FDEF10C" w:rsidR="008A7201" w:rsidRDefault="0024329E" w:rsidP="008E4A52">
            <w:pPr>
              <w:autoSpaceDE w:val="0"/>
              <w:autoSpaceDN w:val="0"/>
              <w:spacing w:before="0" w:after="0"/>
              <w:jc w:val="center"/>
              <w:rPr>
                <w:rFonts w:eastAsia="Arial Unicode MS"/>
              </w:rPr>
            </w:pPr>
            <w:r>
              <w:t>-</w:t>
            </w:r>
          </w:p>
        </w:tc>
      </w:tr>
      <w:tr w:rsidR="008A7201" w:rsidRPr="00A87783" w14:paraId="407A4861" w14:textId="11F1AB40" w:rsidTr="00FE0F43">
        <w:trPr>
          <w:trHeight w:val="288"/>
          <w:jc w:val="center"/>
        </w:trPr>
        <w:tc>
          <w:tcPr>
            <w:tcW w:w="1591" w:type="pct"/>
            <w:shd w:val="clear" w:color="auto" w:fill="auto"/>
          </w:tcPr>
          <w:p w14:paraId="38ECC5AC" w14:textId="383FC196" w:rsidR="008A7201" w:rsidRPr="00715AC5" w:rsidRDefault="008A7201" w:rsidP="0068755B">
            <w:pPr>
              <w:autoSpaceDE w:val="0"/>
              <w:autoSpaceDN w:val="0"/>
              <w:spacing w:before="0" w:after="0"/>
              <w:jc w:val="both"/>
              <w:rPr>
                <w:rFonts w:eastAsia="Arial Unicode MS"/>
              </w:rPr>
            </w:pPr>
            <w:r w:rsidRPr="00715AC5">
              <w:rPr>
                <w:rFonts w:eastAsia="Arial Unicode MS"/>
              </w:rPr>
              <w:t xml:space="preserve">Traffic – Criminal </w:t>
            </w:r>
          </w:p>
        </w:tc>
        <w:tc>
          <w:tcPr>
            <w:tcW w:w="568" w:type="pct"/>
            <w:shd w:val="clear" w:color="auto" w:fill="auto"/>
          </w:tcPr>
          <w:p w14:paraId="2DFF916A" w14:textId="4D38A37C" w:rsidR="008A7201" w:rsidRPr="00715AC5" w:rsidRDefault="0024329E" w:rsidP="0068755B">
            <w:pPr>
              <w:autoSpaceDE w:val="0"/>
              <w:autoSpaceDN w:val="0"/>
              <w:spacing w:before="0" w:after="0"/>
              <w:jc w:val="center"/>
              <w:rPr>
                <w:rFonts w:eastAsia="Arial Unicode MS"/>
              </w:rPr>
            </w:pPr>
            <w:r>
              <w:t>-</w:t>
            </w:r>
          </w:p>
        </w:tc>
        <w:tc>
          <w:tcPr>
            <w:tcW w:w="569" w:type="pct"/>
          </w:tcPr>
          <w:p w14:paraId="57BAD93B" w14:textId="045B948B" w:rsidR="008A7201" w:rsidRPr="00715AC5" w:rsidRDefault="0024329E" w:rsidP="0068755B">
            <w:pPr>
              <w:autoSpaceDE w:val="0"/>
              <w:autoSpaceDN w:val="0"/>
              <w:spacing w:before="0" w:after="0"/>
              <w:jc w:val="center"/>
              <w:rPr>
                <w:rFonts w:eastAsia="Arial Unicode MS"/>
              </w:rPr>
            </w:pPr>
            <w:r>
              <w:t>-</w:t>
            </w:r>
          </w:p>
        </w:tc>
        <w:tc>
          <w:tcPr>
            <w:tcW w:w="568" w:type="pct"/>
          </w:tcPr>
          <w:p w14:paraId="20BBA3A2" w14:textId="6C965BC1" w:rsidR="008A7201" w:rsidRPr="00715AC5" w:rsidRDefault="0024329E" w:rsidP="0068755B">
            <w:pPr>
              <w:autoSpaceDE w:val="0"/>
              <w:autoSpaceDN w:val="0"/>
              <w:spacing w:before="0" w:after="0"/>
              <w:jc w:val="center"/>
              <w:rPr>
                <w:rFonts w:eastAsia="Arial Unicode MS"/>
              </w:rPr>
            </w:pPr>
            <w:r>
              <w:t>-</w:t>
            </w:r>
          </w:p>
        </w:tc>
        <w:tc>
          <w:tcPr>
            <w:tcW w:w="569" w:type="pct"/>
          </w:tcPr>
          <w:p w14:paraId="0FB6C6F6" w14:textId="6D93BA88" w:rsidR="008A7201" w:rsidRPr="00715AC5" w:rsidRDefault="0024329E" w:rsidP="0068755B">
            <w:pPr>
              <w:autoSpaceDE w:val="0"/>
              <w:autoSpaceDN w:val="0"/>
              <w:spacing w:before="0" w:after="0"/>
              <w:jc w:val="center"/>
              <w:rPr>
                <w:rFonts w:eastAsia="Arial Unicode MS"/>
              </w:rPr>
            </w:pPr>
            <w:r>
              <w:t>-</w:t>
            </w:r>
          </w:p>
        </w:tc>
        <w:tc>
          <w:tcPr>
            <w:tcW w:w="568" w:type="pct"/>
          </w:tcPr>
          <w:p w14:paraId="47C46621" w14:textId="1E65D20C" w:rsidR="008A7201" w:rsidRDefault="00FE0F43" w:rsidP="0068755B">
            <w:pPr>
              <w:autoSpaceDE w:val="0"/>
              <w:autoSpaceDN w:val="0"/>
              <w:spacing w:before="0" w:after="0"/>
              <w:jc w:val="center"/>
              <w:rPr>
                <w:rFonts w:eastAsia="Arial Unicode MS"/>
              </w:rPr>
            </w:pPr>
            <w:r>
              <w:rPr>
                <w:rFonts w:eastAsia="Arial Unicode MS"/>
              </w:rPr>
              <w:t>1</w:t>
            </w:r>
          </w:p>
        </w:tc>
        <w:tc>
          <w:tcPr>
            <w:tcW w:w="567" w:type="pct"/>
          </w:tcPr>
          <w:p w14:paraId="7F436214" w14:textId="55700A10" w:rsidR="008A7201" w:rsidRDefault="004323D3" w:rsidP="0068755B">
            <w:pPr>
              <w:autoSpaceDE w:val="0"/>
              <w:autoSpaceDN w:val="0"/>
              <w:spacing w:before="0" w:after="0"/>
              <w:jc w:val="center"/>
              <w:rPr>
                <w:rFonts w:eastAsia="Arial Unicode MS"/>
              </w:rPr>
            </w:pPr>
            <w:r>
              <w:rPr>
                <w:rFonts w:eastAsia="Arial Unicode MS"/>
              </w:rPr>
              <w:t>5%</w:t>
            </w:r>
          </w:p>
        </w:tc>
      </w:tr>
      <w:tr w:rsidR="008A7201" w:rsidRPr="00A87783" w14:paraId="4FD4F500" w14:textId="5716A36F" w:rsidTr="00FE0F43">
        <w:trPr>
          <w:trHeight w:val="288"/>
          <w:jc w:val="center"/>
        </w:trPr>
        <w:tc>
          <w:tcPr>
            <w:tcW w:w="1591" w:type="pct"/>
            <w:shd w:val="clear" w:color="auto" w:fill="auto"/>
          </w:tcPr>
          <w:p w14:paraId="2E3785E9" w14:textId="0067DD64" w:rsidR="008A7201" w:rsidRPr="00715AC5" w:rsidRDefault="008A7201" w:rsidP="008E4A52">
            <w:pPr>
              <w:autoSpaceDE w:val="0"/>
              <w:autoSpaceDN w:val="0"/>
              <w:spacing w:before="0" w:after="0"/>
              <w:jc w:val="both"/>
              <w:rPr>
                <w:rFonts w:eastAsia="Arial Unicode MS"/>
              </w:rPr>
            </w:pPr>
            <w:r w:rsidRPr="00715AC5">
              <w:rPr>
                <w:rFonts w:eastAsia="Arial Unicode MS"/>
              </w:rPr>
              <w:t>Traffic – Non-Criminal</w:t>
            </w:r>
          </w:p>
        </w:tc>
        <w:tc>
          <w:tcPr>
            <w:tcW w:w="568" w:type="pct"/>
            <w:shd w:val="clear" w:color="auto" w:fill="auto"/>
          </w:tcPr>
          <w:p w14:paraId="100FF920" w14:textId="31B5A850" w:rsidR="008A7201" w:rsidRPr="00715AC5" w:rsidRDefault="008A7201" w:rsidP="0068755B">
            <w:pPr>
              <w:autoSpaceDE w:val="0"/>
              <w:autoSpaceDN w:val="0"/>
              <w:spacing w:before="0" w:after="0"/>
              <w:jc w:val="center"/>
              <w:rPr>
                <w:rFonts w:eastAsia="Arial Unicode MS"/>
              </w:rPr>
            </w:pPr>
            <w:r w:rsidRPr="00715AC5">
              <w:rPr>
                <w:rFonts w:eastAsia="Arial Unicode MS"/>
              </w:rPr>
              <w:t>1</w:t>
            </w:r>
          </w:p>
        </w:tc>
        <w:tc>
          <w:tcPr>
            <w:tcW w:w="569" w:type="pct"/>
          </w:tcPr>
          <w:p w14:paraId="661C521B" w14:textId="54C00110" w:rsidR="008A7201" w:rsidRPr="00715AC5" w:rsidRDefault="008A7201" w:rsidP="0068755B">
            <w:pPr>
              <w:autoSpaceDE w:val="0"/>
              <w:autoSpaceDN w:val="0"/>
              <w:spacing w:before="0" w:after="0"/>
              <w:jc w:val="center"/>
              <w:rPr>
                <w:rFonts w:eastAsia="Arial Unicode MS"/>
              </w:rPr>
            </w:pPr>
            <w:r w:rsidRPr="00715AC5">
              <w:rPr>
                <w:rFonts w:eastAsia="Arial Unicode MS"/>
              </w:rPr>
              <w:t>11%</w:t>
            </w:r>
          </w:p>
        </w:tc>
        <w:tc>
          <w:tcPr>
            <w:tcW w:w="568" w:type="pct"/>
          </w:tcPr>
          <w:p w14:paraId="54943198" w14:textId="3B1F3A4C" w:rsidR="008A7201" w:rsidRPr="00715AC5" w:rsidRDefault="0024329E" w:rsidP="0068755B">
            <w:pPr>
              <w:autoSpaceDE w:val="0"/>
              <w:autoSpaceDN w:val="0"/>
              <w:spacing w:before="0" w:after="0"/>
              <w:jc w:val="center"/>
              <w:rPr>
                <w:rFonts w:eastAsia="Arial Unicode MS"/>
              </w:rPr>
            </w:pPr>
            <w:r>
              <w:t>-</w:t>
            </w:r>
          </w:p>
        </w:tc>
        <w:tc>
          <w:tcPr>
            <w:tcW w:w="569" w:type="pct"/>
          </w:tcPr>
          <w:p w14:paraId="5971884D" w14:textId="42FC6F5A" w:rsidR="008A7201" w:rsidRPr="00715AC5" w:rsidRDefault="0024329E" w:rsidP="0068755B">
            <w:pPr>
              <w:autoSpaceDE w:val="0"/>
              <w:autoSpaceDN w:val="0"/>
              <w:spacing w:before="0" w:after="0"/>
              <w:jc w:val="center"/>
              <w:rPr>
                <w:rFonts w:eastAsia="Arial Unicode MS"/>
              </w:rPr>
            </w:pPr>
            <w:r>
              <w:t>-</w:t>
            </w:r>
          </w:p>
        </w:tc>
        <w:tc>
          <w:tcPr>
            <w:tcW w:w="568" w:type="pct"/>
          </w:tcPr>
          <w:p w14:paraId="0DEA6654" w14:textId="2F3000AE" w:rsidR="008A7201" w:rsidRDefault="0024329E" w:rsidP="0068755B">
            <w:pPr>
              <w:autoSpaceDE w:val="0"/>
              <w:autoSpaceDN w:val="0"/>
              <w:spacing w:before="0" w:after="0"/>
              <w:jc w:val="center"/>
              <w:rPr>
                <w:rFonts w:eastAsia="Arial Unicode MS"/>
              </w:rPr>
            </w:pPr>
            <w:r>
              <w:t>-</w:t>
            </w:r>
          </w:p>
        </w:tc>
        <w:tc>
          <w:tcPr>
            <w:tcW w:w="567" w:type="pct"/>
          </w:tcPr>
          <w:p w14:paraId="1A88B111" w14:textId="22984E7F" w:rsidR="008A7201" w:rsidRDefault="0024329E" w:rsidP="0068755B">
            <w:pPr>
              <w:autoSpaceDE w:val="0"/>
              <w:autoSpaceDN w:val="0"/>
              <w:spacing w:before="0" w:after="0"/>
              <w:jc w:val="center"/>
              <w:rPr>
                <w:rFonts w:eastAsia="Arial Unicode MS"/>
              </w:rPr>
            </w:pPr>
            <w:r>
              <w:t>-</w:t>
            </w:r>
          </w:p>
        </w:tc>
      </w:tr>
    </w:tbl>
    <w:p w14:paraId="2BF8B03A" w14:textId="1C0BF8EA" w:rsidR="0084567C" w:rsidRDefault="000A53C6" w:rsidP="0084567C">
      <w:pPr>
        <w:autoSpaceDE w:val="0"/>
        <w:autoSpaceDN w:val="0"/>
        <w:spacing w:before="240" w:after="120"/>
        <w:jc w:val="both"/>
        <w:rPr>
          <w:rFonts w:eastAsia="Arial Unicode MS"/>
        </w:rPr>
      </w:pPr>
      <w:r w:rsidRPr="000A53C6">
        <w:rPr>
          <w:rFonts w:eastAsia="Arial Unicode MS"/>
        </w:rPr>
        <w:t xml:space="preserve">The </w:t>
      </w:r>
      <w:r w:rsidR="00C13D9F">
        <w:rPr>
          <w:rFonts w:eastAsia="Arial Unicode MS"/>
        </w:rPr>
        <w:t>202</w:t>
      </w:r>
      <w:r w:rsidR="004323D3">
        <w:rPr>
          <w:rFonts w:eastAsia="Arial Unicode MS"/>
        </w:rPr>
        <w:t>2</w:t>
      </w:r>
      <w:r w:rsidR="00C13D9F">
        <w:rPr>
          <w:rFonts w:eastAsia="Arial Unicode MS"/>
        </w:rPr>
        <w:t xml:space="preserve"> </w:t>
      </w:r>
      <w:r w:rsidRPr="000A53C6">
        <w:rPr>
          <w:rFonts w:eastAsia="Arial Unicode MS"/>
        </w:rPr>
        <w:t>pursuit</w:t>
      </w:r>
      <w:r w:rsidR="004323D3">
        <w:rPr>
          <w:rFonts w:eastAsia="Arial Unicode MS"/>
        </w:rPr>
        <w:t>s</w:t>
      </w:r>
      <w:r w:rsidRPr="000A53C6">
        <w:rPr>
          <w:rFonts w:eastAsia="Arial Unicode MS"/>
        </w:rPr>
        <w:t xml:space="preserve"> w</w:t>
      </w:r>
      <w:r w:rsidR="004323D3">
        <w:rPr>
          <w:rFonts w:eastAsia="Arial Unicode MS"/>
        </w:rPr>
        <w:t>ere</w:t>
      </w:r>
      <w:r w:rsidRPr="000A53C6">
        <w:rPr>
          <w:rFonts w:eastAsia="Arial Unicode MS"/>
        </w:rPr>
        <w:t xml:space="preserve"> </w:t>
      </w:r>
      <w:r w:rsidR="003C7A12" w:rsidRPr="000A53C6">
        <w:rPr>
          <w:rFonts w:eastAsia="Arial Unicode MS"/>
        </w:rPr>
        <w:t xml:space="preserve">entered into BlueTeam and reviewed by Department supervisors. </w:t>
      </w:r>
      <w:r w:rsidR="004323D3">
        <w:rPr>
          <w:rFonts w:eastAsia="Arial Unicode MS"/>
        </w:rPr>
        <w:t xml:space="preserve">Of the 20 pursuits, 18 were </w:t>
      </w:r>
      <w:r w:rsidR="003C7A12" w:rsidRPr="000A53C6">
        <w:rPr>
          <w:rFonts w:eastAsia="Arial Unicode MS"/>
        </w:rPr>
        <w:t xml:space="preserve">deemed to be </w:t>
      </w:r>
      <w:r w:rsidR="003546B1">
        <w:rPr>
          <w:rFonts w:eastAsia="Arial Unicode MS"/>
        </w:rPr>
        <w:t>W</w:t>
      </w:r>
      <w:r w:rsidR="003C7A12" w:rsidRPr="000A53C6">
        <w:rPr>
          <w:rFonts w:eastAsia="Arial Unicode MS"/>
        </w:rPr>
        <w:t xml:space="preserve">ithin Department </w:t>
      </w:r>
      <w:r w:rsidR="008D626F">
        <w:rPr>
          <w:rFonts w:eastAsia="Arial Unicode MS"/>
        </w:rPr>
        <w:t>P</w:t>
      </w:r>
      <w:r w:rsidR="003C7A12" w:rsidRPr="000A53C6">
        <w:rPr>
          <w:rFonts w:eastAsia="Arial Unicode MS"/>
        </w:rPr>
        <w:t xml:space="preserve">olicy. </w:t>
      </w:r>
    </w:p>
    <w:p w14:paraId="19529005" w14:textId="7E8D75F6" w:rsidR="0084567C" w:rsidRPr="0084567C" w:rsidRDefault="0084567C" w:rsidP="0084567C">
      <w:pPr>
        <w:autoSpaceDE w:val="0"/>
        <w:autoSpaceDN w:val="0"/>
        <w:spacing w:before="120" w:after="120"/>
        <w:jc w:val="both"/>
        <w:rPr>
          <w:rFonts w:eastAsia="Arial Unicode MS"/>
        </w:rPr>
      </w:pPr>
      <w:r w:rsidRPr="0084567C">
        <w:rPr>
          <w:rFonts w:eastAsia="Arial Unicode MS"/>
        </w:rPr>
        <w:t>*</w:t>
      </w:r>
      <w:r w:rsidR="004323D3" w:rsidRPr="0084567C">
        <w:rPr>
          <w:rFonts w:eastAsia="Arial Unicode MS"/>
        </w:rPr>
        <w:t xml:space="preserve">One pursuit was reviewed by the officer’s chain-of-command and determined to </w:t>
      </w:r>
      <w:r w:rsidR="00E91D9E" w:rsidRPr="0084567C">
        <w:rPr>
          <w:rFonts w:eastAsia="Arial Unicode MS"/>
        </w:rPr>
        <w:t>have been “Unfounded” as</w:t>
      </w:r>
      <w:r w:rsidR="004323D3" w:rsidRPr="0084567C">
        <w:rPr>
          <w:rFonts w:eastAsia="Arial Unicode MS"/>
        </w:rPr>
        <w:t xml:space="preserve"> a pursuit</w:t>
      </w:r>
      <w:r w:rsidR="001210C1" w:rsidRPr="0084567C">
        <w:rPr>
          <w:rFonts w:eastAsia="Arial Unicode MS"/>
        </w:rPr>
        <w:t xml:space="preserve">, </w:t>
      </w:r>
      <w:r w:rsidR="002557B7" w:rsidRPr="0084567C">
        <w:rPr>
          <w:rFonts w:eastAsia="Arial Unicode MS"/>
        </w:rPr>
        <w:t>(</w:t>
      </w:r>
      <w:r w:rsidR="001210C1" w:rsidRPr="0084567C">
        <w:rPr>
          <w:rFonts w:eastAsia="Arial Unicode MS"/>
        </w:rPr>
        <w:t>22PUR-0001)</w:t>
      </w:r>
      <w:r w:rsidR="004323D3" w:rsidRPr="0084567C">
        <w:rPr>
          <w:rFonts w:eastAsia="Arial Unicode MS"/>
        </w:rPr>
        <w:t xml:space="preserve">. </w:t>
      </w:r>
      <w:r w:rsidR="002557B7" w:rsidRPr="0084567C">
        <w:rPr>
          <w:rFonts w:eastAsia="Arial Unicode MS"/>
        </w:rPr>
        <w:t xml:space="preserve">Initially, the pursuit was thought to be outside of policy and a complaint </w:t>
      </w:r>
      <w:r w:rsidR="00E91D9E" w:rsidRPr="0084567C">
        <w:rPr>
          <w:rFonts w:eastAsia="Arial Unicode MS"/>
        </w:rPr>
        <w:t xml:space="preserve">against the officer </w:t>
      </w:r>
      <w:r w:rsidR="002557B7" w:rsidRPr="0084567C">
        <w:rPr>
          <w:rFonts w:eastAsia="Arial Unicode MS"/>
        </w:rPr>
        <w:t xml:space="preserve">was generated (22COM-0001). The complaint was </w:t>
      </w:r>
      <w:r w:rsidR="00E91D9E" w:rsidRPr="0084567C">
        <w:rPr>
          <w:rFonts w:eastAsia="Arial Unicode MS"/>
        </w:rPr>
        <w:t>investigated by the officer’s supervisor. In reviewing the supervisor’s complaint investigation, the Bureau Commander wrote</w:t>
      </w:r>
      <w:r w:rsidR="00E91D9E" w:rsidRPr="0084567C">
        <w:rPr>
          <w:rFonts w:eastAsia="Arial Unicode MS"/>
          <w:i/>
          <w:iCs/>
        </w:rPr>
        <w:t xml:space="preserve">, “I reviewed the associated statements and reports. I do not concur that this was a pursuit. I conclude that PPO Stephenson was attempting to conduct a traffic stop and the suspect </w:t>
      </w:r>
      <w:proofErr w:type="gramStart"/>
      <w:r w:rsidR="00E91D9E" w:rsidRPr="0084567C">
        <w:rPr>
          <w:rFonts w:eastAsia="Arial Unicode MS"/>
          <w:i/>
          <w:iCs/>
        </w:rPr>
        <w:t>continued on</w:t>
      </w:r>
      <w:proofErr w:type="gramEnd"/>
      <w:r w:rsidR="00E91D9E" w:rsidRPr="0084567C">
        <w:rPr>
          <w:rFonts w:eastAsia="Arial Unicode MS"/>
          <w:i/>
          <w:iCs/>
        </w:rPr>
        <w:t xml:space="preserve"> for 1 block after running a red light and crashed. PPO Stephenson was attempting to catch up to the vehicle to run </w:t>
      </w:r>
      <w:proofErr w:type="spellStart"/>
      <w:proofErr w:type="gramStart"/>
      <w:r w:rsidR="00E91D9E" w:rsidRPr="0084567C">
        <w:rPr>
          <w:rFonts w:eastAsia="Arial Unicode MS"/>
          <w:i/>
          <w:iCs/>
        </w:rPr>
        <w:t>it's</w:t>
      </w:r>
      <w:proofErr w:type="spellEnd"/>
      <w:proofErr w:type="gramEnd"/>
      <w:r w:rsidR="00E91D9E" w:rsidRPr="0084567C">
        <w:rPr>
          <w:rFonts w:eastAsia="Arial Unicode MS"/>
          <w:i/>
          <w:iCs/>
        </w:rPr>
        <w:t xml:space="preserve"> license plate when the suspect vehicle conducted a traffic violation. At no time was there a clear opportunity to conclude that the subject would not comply with the traffic stop before the collision.” </w:t>
      </w:r>
      <w:r w:rsidR="00E91D9E" w:rsidRPr="0084567C">
        <w:rPr>
          <w:rFonts w:eastAsia="Arial Unicode MS"/>
        </w:rPr>
        <w:t xml:space="preserve">Both the </w:t>
      </w:r>
      <w:r w:rsidRPr="0084567C">
        <w:rPr>
          <w:rFonts w:eastAsia="Arial Unicode MS"/>
        </w:rPr>
        <w:t xml:space="preserve">Division </w:t>
      </w:r>
      <w:r w:rsidR="00E91D9E" w:rsidRPr="0084567C">
        <w:rPr>
          <w:rFonts w:eastAsia="Arial Unicode MS"/>
        </w:rPr>
        <w:t>Commander and the Bureau Assistant Chief found the complaint to be “Not-Sustained</w:t>
      </w:r>
      <w:r w:rsidRPr="0084567C">
        <w:rPr>
          <w:rFonts w:eastAsia="Arial Unicode MS"/>
        </w:rPr>
        <w:t>,</w:t>
      </w:r>
      <w:r w:rsidR="00E91D9E" w:rsidRPr="0084567C">
        <w:rPr>
          <w:rFonts w:eastAsia="Arial Unicode MS"/>
        </w:rPr>
        <w:t xml:space="preserve">” and the pursuit </w:t>
      </w:r>
      <w:r w:rsidR="004323D3" w:rsidRPr="0084567C">
        <w:rPr>
          <w:rFonts w:eastAsia="Arial Unicode MS"/>
        </w:rPr>
        <w:t xml:space="preserve">was given a finding of </w:t>
      </w:r>
      <w:r w:rsidRPr="0084567C">
        <w:rPr>
          <w:rFonts w:eastAsia="Arial Unicode MS"/>
        </w:rPr>
        <w:t>U</w:t>
      </w:r>
      <w:r w:rsidR="004323D3" w:rsidRPr="0084567C">
        <w:rPr>
          <w:rFonts w:eastAsia="Arial Unicode MS"/>
        </w:rPr>
        <w:t xml:space="preserve">nfounded by the Bureau Chief. </w:t>
      </w:r>
    </w:p>
    <w:p w14:paraId="4B30265A" w14:textId="58A3A735" w:rsidR="003C7A12" w:rsidRPr="0084567C" w:rsidRDefault="004323D3" w:rsidP="0084567C">
      <w:pPr>
        <w:autoSpaceDE w:val="0"/>
        <w:autoSpaceDN w:val="0"/>
        <w:spacing w:before="120" w:after="120"/>
        <w:jc w:val="both"/>
        <w:rPr>
          <w:rFonts w:eastAsia="Arial Unicode MS"/>
        </w:rPr>
      </w:pPr>
      <w:r w:rsidRPr="0084567C">
        <w:rPr>
          <w:rFonts w:eastAsia="Arial Unicode MS"/>
        </w:rPr>
        <w:t>Lastly, one pursuit is pending a finding as it</w:t>
      </w:r>
      <w:r w:rsidR="00FD2B71" w:rsidRPr="0084567C">
        <w:rPr>
          <w:rFonts w:eastAsia="Arial Unicode MS"/>
        </w:rPr>
        <w:t xml:space="preserve"> is related to </w:t>
      </w:r>
      <w:r w:rsidRPr="0084567C">
        <w:rPr>
          <w:rFonts w:eastAsia="Arial Unicode MS"/>
        </w:rPr>
        <w:t>an officer-involved shooting</w:t>
      </w:r>
      <w:r w:rsidR="00E91D9E" w:rsidRPr="0084567C">
        <w:rPr>
          <w:rFonts w:eastAsia="Arial Unicode MS"/>
        </w:rPr>
        <w:t>, (22PUR-0003)</w:t>
      </w:r>
      <w:r w:rsidRPr="0084567C">
        <w:rPr>
          <w:rFonts w:eastAsia="Arial Unicode MS"/>
        </w:rPr>
        <w:t>.</w:t>
      </w:r>
    </w:p>
    <w:p w14:paraId="56873513" w14:textId="77777777" w:rsidR="0084567C" w:rsidRPr="0084567C" w:rsidRDefault="00F17E79" w:rsidP="004E1CEC">
      <w:pPr>
        <w:spacing w:before="0" w:after="0"/>
        <w:jc w:val="both"/>
        <w:rPr>
          <w:rFonts w:eastAsia="Arial Unicode MS"/>
        </w:rPr>
      </w:pPr>
      <w:r w:rsidRPr="0084567C">
        <w:rPr>
          <w:rFonts w:eastAsia="Arial Unicode MS"/>
        </w:rPr>
        <w:lastRenderedPageBreak/>
        <w:t>T</w:t>
      </w:r>
      <w:r w:rsidR="00FD2B71" w:rsidRPr="0084567C">
        <w:rPr>
          <w:rFonts w:eastAsia="Arial Unicode MS"/>
        </w:rPr>
        <w:t xml:space="preserve">he Department is in the process of acquiring in-car </w:t>
      </w:r>
      <w:r w:rsidRPr="0084567C">
        <w:rPr>
          <w:rFonts w:eastAsia="Arial Unicode MS"/>
        </w:rPr>
        <w:t xml:space="preserve">dash </w:t>
      </w:r>
      <w:r w:rsidR="00FD2B71" w:rsidRPr="0084567C">
        <w:rPr>
          <w:rFonts w:eastAsia="Arial Unicode MS"/>
        </w:rPr>
        <w:t>cameras</w:t>
      </w:r>
      <w:r w:rsidR="001210C1" w:rsidRPr="0084567C">
        <w:rPr>
          <w:rFonts w:eastAsia="Arial Unicode MS"/>
        </w:rPr>
        <w:t>, a transformation and transparency standard set forth in</w:t>
      </w:r>
      <w:r w:rsidRPr="0084567C">
        <w:rPr>
          <w:rFonts w:eastAsia="Arial Unicode MS"/>
        </w:rPr>
        <w:t xml:space="preserve"> City of Tacoma Resolution #40622</w:t>
      </w:r>
      <w:r w:rsidR="00FD2B71" w:rsidRPr="0084567C">
        <w:rPr>
          <w:rFonts w:eastAsia="Arial Unicode MS"/>
        </w:rPr>
        <w:t>. In 2022</w:t>
      </w:r>
      <w:r w:rsidR="0084567C" w:rsidRPr="0084567C">
        <w:rPr>
          <w:rFonts w:eastAsia="Arial Unicode MS"/>
        </w:rPr>
        <w:t>,</w:t>
      </w:r>
      <w:r w:rsidR="001210C1" w:rsidRPr="0084567C">
        <w:rPr>
          <w:rFonts w:eastAsia="Arial Unicode MS"/>
        </w:rPr>
        <w:t xml:space="preserve"> however</w:t>
      </w:r>
      <w:r w:rsidR="00FD2B71" w:rsidRPr="0084567C">
        <w:rPr>
          <w:rFonts w:eastAsia="Arial Unicode MS"/>
        </w:rPr>
        <w:t xml:space="preserve">, our vehicles were not equipped with them. </w:t>
      </w:r>
    </w:p>
    <w:p w14:paraId="0B5BEBA8" w14:textId="23C1A297" w:rsidR="00BB67D4" w:rsidRDefault="00FD2B71" w:rsidP="0084567C">
      <w:pPr>
        <w:spacing w:before="120" w:after="0"/>
        <w:jc w:val="both"/>
        <w:rPr>
          <w:rFonts w:eastAsia="Arial Unicode MS"/>
          <w:b/>
        </w:rPr>
      </w:pPr>
      <w:r w:rsidRPr="0084567C">
        <w:rPr>
          <w:rFonts w:eastAsia="Arial Unicode MS"/>
        </w:rPr>
        <w:t>Body worn camera (BWC) videos are associated with 16 of the pursuits that were reviewed by supervisors. The four pursuits that do not have associated BWC video available were conducted by our Special Inve</w:t>
      </w:r>
      <w:r>
        <w:rPr>
          <w:rFonts w:eastAsia="Arial Unicode MS"/>
        </w:rPr>
        <w:t>stigation Section who at the time did not have body worn cameras. Special Investigations is in the process of getting outfitted with complete BWC systems for their officers.</w:t>
      </w:r>
    </w:p>
    <w:p w14:paraId="71704F4D" w14:textId="17731163" w:rsidR="0033240A" w:rsidRPr="003B4081" w:rsidRDefault="0033240A" w:rsidP="00100E45">
      <w:pPr>
        <w:autoSpaceDE w:val="0"/>
        <w:autoSpaceDN w:val="0"/>
        <w:spacing w:before="240" w:after="240"/>
        <w:jc w:val="both"/>
        <w:rPr>
          <w:rFonts w:eastAsia="Arial Unicode MS"/>
          <w:b/>
        </w:rPr>
      </w:pPr>
      <w:r w:rsidRPr="003B4081">
        <w:rPr>
          <w:rFonts w:eastAsia="Arial Unicode MS"/>
          <w:b/>
        </w:rPr>
        <w:t>Event that Concluded the Pursuit:</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30"/>
        <w:gridCol w:w="900"/>
        <w:gridCol w:w="630"/>
        <w:gridCol w:w="900"/>
        <w:gridCol w:w="765"/>
        <w:gridCol w:w="765"/>
      </w:tblGrid>
      <w:tr w:rsidR="00FD2B71" w:rsidRPr="003B4081" w14:paraId="31481A12" w14:textId="54EFD916" w:rsidTr="00FD2B71">
        <w:trPr>
          <w:trHeight w:val="288"/>
          <w:jc w:val="center"/>
        </w:trPr>
        <w:tc>
          <w:tcPr>
            <w:tcW w:w="3145" w:type="dxa"/>
            <w:shd w:val="clear" w:color="auto" w:fill="BFBFBF"/>
          </w:tcPr>
          <w:p w14:paraId="7A3EA0F2" w14:textId="77777777" w:rsidR="00FD2B71" w:rsidRPr="003B4081" w:rsidRDefault="00FD2B71" w:rsidP="006634E2">
            <w:pPr>
              <w:autoSpaceDE w:val="0"/>
              <w:autoSpaceDN w:val="0"/>
              <w:spacing w:before="0" w:after="0"/>
              <w:jc w:val="both"/>
              <w:rPr>
                <w:rFonts w:eastAsia="Arial Unicode MS"/>
                <w:highlight w:val="yellow"/>
              </w:rPr>
            </w:pPr>
          </w:p>
        </w:tc>
        <w:tc>
          <w:tcPr>
            <w:tcW w:w="1530" w:type="dxa"/>
            <w:gridSpan w:val="2"/>
            <w:shd w:val="clear" w:color="auto" w:fill="BFBFBF"/>
          </w:tcPr>
          <w:p w14:paraId="632F8682" w14:textId="77777777" w:rsidR="00FD2B71" w:rsidRPr="003B4081" w:rsidRDefault="00FD2B71" w:rsidP="006634E2">
            <w:pPr>
              <w:autoSpaceDE w:val="0"/>
              <w:autoSpaceDN w:val="0"/>
              <w:spacing w:before="0" w:after="0"/>
              <w:jc w:val="center"/>
              <w:rPr>
                <w:rFonts w:eastAsia="Arial Unicode MS"/>
                <w:b/>
                <w:highlight w:val="yellow"/>
              </w:rPr>
            </w:pPr>
            <w:r w:rsidRPr="003B4081">
              <w:rPr>
                <w:rFonts w:eastAsia="Arial Unicode MS"/>
                <w:b/>
              </w:rPr>
              <w:t>2020</w:t>
            </w:r>
          </w:p>
        </w:tc>
        <w:tc>
          <w:tcPr>
            <w:tcW w:w="1530" w:type="dxa"/>
            <w:gridSpan w:val="2"/>
            <w:shd w:val="clear" w:color="auto" w:fill="BFBFBF"/>
          </w:tcPr>
          <w:p w14:paraId="60B1A5FD" w14:textId="07085F08" w:rsidR="00FD2B71" w:rsidRPr="003B4081" w:rsidRDefault="00FD2B71" w:rsidP="006634E2">
            <w:pPr>
              <w:autoSpaceDE w:val="0"/>
              <w:autoSpaceDN w:val="0"/>
              <w:spacing w:before="0" w:after="0"/>
              <w:jc w:val="center"/>
              <w:rPr>
                <w:rFonts w:eastAsia="Arial Unicode MS"/>
                <w:b/>
              </w:rPr>
            </w:pPr>
            <w:r w:rsidRPr="003B4081">
              <w:rPr>
                <w:rFonts w:eastAsia="Arial Unicode MS"/>
                <w:b/>
              </w:rPr>
              <w:t>2021</w:t>
            </w:r>
          </w:p>
        </w:tc>
        <w:tc>
          <w:tcPr>
            <w:tcW w:w="1530" w:type="dxa"/>
            <w:gridSpan w:val="2"/>
            <w:shd w:val="clear" w:color="auto" w:fill="BFBFBF"/>
          </w:tcPr>
          <w:p w14:paraId="10681416" w14:textId="5EF110A7" w:rsidR="00FD2B71" w:rsidRPr="003B4081" w:rsidRDefault="00FD2B71" w:rsidP="006634E2">
            <w:pPr>
              <w:autoSpaceDE w:val="0"/>
              <w:autoSpaceDN w:val="0"/>
              <w:spacing w:before="0" w:after="0"/>
              <w:jc w:val="center"/>
              <w:rPr>
                <w:rFonts w:eastAsia="Arial Unicode MS"/>
                <w:b/>
              </w:rPr>
            </w:pPr>
            <w:r>
              <w:rPr>
                <w:rFonts w:eastAsia="Arial Unicode MS"/>
                <w:b/>
              </w:rPr>
              <w:t>2022</w:t>
            </w:r>
          </w:p>
        </w:tc>
      </w:tr>
      <w:tr w:rsidR="00FD2B71" w:rsidRPr="003B4081" w14:paraId="3C109453" w14:textId="03D74379" w:rsidTr="00FD2B71">
        <w:trPr>
          <w:jc w:val="center"/>
        </w:trPr>
        <w:tc>
          <w:tcPr>
            <w:tcW w:w="3145" w:type="dxa"/>
            <w:shd w:val="clear" w:color="auto" w:fill="auto"/>
          </w:tcPr>
          <w:p w14:paraId="361CED25" w14:textId="77777777" w:rsidR="00FD2B71" w:rsidRPr="003B4081" w:rsidRDefault="00FD2B71" w:rsidP="006634E2">
            <w:pPr>
              <w:autoSpaceDE w:val="0"/>
              <w:autoSpaceDN w:val="0"/>
              <w:spacing w:before="0" w:after="0"/>
              <w:jc w:val="both"/>
              <w:rPr>
                <w:rFonts w:eastAsia="Arial Unicode MS"/>
              </w:rPr>
            </w:pPr>
            <w:r w:rsidRPr="003B4081">
              <w:rPr>
                <w:rFonts w:eastAsia="Arial Unicode MS"/>
              </w:rPr>
              <w:t>Terminated/Canceled</w:t>
            </w:r>
          </w:p>
        </w:tc>
        <w:tc>
          <w:tcPr>
            <w:tcW w:w="630" w:type="dxa"/>
          </w:tcPr>
          <w:p w14:paraId="4ADCECDC"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2</w:t>
            </w:r>
          </w:p>
        </w:tc>
        <w:tc>
          <w:tcPr>
            <w:tcW w:w="900" w:type="dxa"/>
          </w:tcPr>
          <w:p w14:paraId="18778406"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22%</w:t>
            </w:r>
          </w:p>
        </w:tc>
        <w:tc>
          <w:tcPr>
            <w:tcW w:w="630" w:type="dxa"/>
          </w:tcPr>
          <w:p w14:paraId="49495B67" w14:textId="541723B0" w:rsidR="00FD2B71" w:rsidRPr="003B4081" w:rsidRDefault="0024329E" w:rsidP="006634E2">
            <w:pPr>
              <w:autoSpaceDE w:val="0"/>
              <w:autoSpaceDN w:val="0"/>
              <w:spacing w:before="0" w:after="0"/>
              <w:jc w:val="center"/>
              <w:rPr>
                <w:rFonts w:eastAsia="Arial Unicode MS"/>
              </w:rPr>
            </w:pPr>
            <w:r>
              <w:t>-</w:t>
            </w:r>
          </w:p>
        </w:tc>
        <w:tc>
          <w:tcPr>
            <w:tcW w:w="900" w:type="dxa"/>
          </w:tcPr>
          <w:p w14:paraId="370DEAED" w14:textId="575E0661" w:rsidR="00FD2B71" w:rsidRPr="003B4081" w:rsidRDefault="0024329E" w:rsidP="006634E2">
            <w:pPr>
              <w:autoSpaceDE w:val="0"/>
              <w:autoSpaceDN w:val="0"/>
              <w:spacing w:before="0" w:after="0"/>
              <w:jc w:val="center"/>
              <w:rPr>
                <w:rFonts w:eastAsia="Arial Unicode MS"/>
              </w:rPr>
            </w:pPr>
            <w:r>
              <w:t>-</w:t>
            </w:r>
          </w:p>
        </w:tc>
        <w:tc>
          <w:tcPr>
            <w:tcW w:w="765" w:type="dxa"/>
          </w:tcPr>
          <w:p w14:paraId="249035FF" w14:textId="6118B8BF" w:rsidR="00FD2B71" w:rsidRPr="003B4081" w:rsidRDefault="00FD2B71" w:rsidP="006634E2">
            <w:pPr>
              <w:autoSpaceDE w:val="0"/>
              <w:autoSpaceDN w:val="0"/>
              <w:spacing w:before="0" w:after="0"/>
              <w:jc w:val="center"/>
              <w:rPr>
                <w:rFonts w:eastAsia="Arial Unicode MS"/>
              </w:rPr>
            </w:pPr>
            <w:r>
              <w:rPr>
                <w:rFonts w:eastAsia="Arial Unicode MS"/>
              </w:rPr>
              <w:t>4</w:t>
            </w:r>
          </w:p>
        </w:tc>
        <w:tc>
          <w:tcPr>
            <w:tcW w:w="765" w:type="dxa"/>
          </w:tcPr>
          <w:p w14:paraId="74442443" w14:textId="47D42A0F" w:rsidR="00FD2B71" w:rsidRPr="003B4081" w:rsidRDefault="00FD2B71" w:rsidP="006634E2">
            <w:pPr>
              <w:autoSpaceDE w:val="0"/>
              <w:autoSpaceDN w:val="0"/>
              <w:spacing w:before="0" w:after="0"/>
              <w:jc w:val="center"/>
              <w:rPr>
                <w:rFonts w:eastAsia="Arial Unicode MS"/>
              </w:rPr>
            </w:pPr>
            <w:r>
              <w:rPr>
                <w:rFonts w:eastAsia="Arial Unicode MS"/>
              </w:rPr>
              <w:t>20%</w:t>
            </w:r>
          </w:p>
        </w:tc>
      </w:tr>
      <w:tr w:rsidR="00FD2B71" w:rsidRPr="003B4081" w14:paraId="3F082B66" w14:textId="75301E17" w:rsidTr="00FD2B71">
        <w:trPr>
          <w:jc w:val="center"/>
        </w:trPr>
        <w:tc>
          <w:tcPr>
            <w:tcW w:w="3145" w:type="dxa"/>
            <w:shd w:val="clear" w:color="auto" w:fill="auto"/>
          </w:tcPr>
          <w:p w14:paraId="63170C31" w14:textId="77777777" w:rsidR="00FD2B71" w:rsidRPr="003B4081" w:rsidRDefault="00FD2B71" w:rsidP="006634E2">
            <w:pPr>
              <w:autoSpaceDE w:val="0"/>
              <w:autoSpaceDN w:val="0"/>
              <w:spacing w:before="0" w:after="0"/>
              <w:jc w:val="both"/>
              <w:rPr>
                <w:rFonts w:eastAsia="Arial Unicode MS"/>
              </w:rPr>
            </w:pPr>
            <w:r w:rsidRPr="003B4081">
              <w:rPr>
                <w:rFonts w:eastAsia="Arial Unicode MS"/>
              </w:rPr>
              <w:t xml:space="preserve">PIT Maneuver </w:t>
            </w:r>
          </w:p>
        </w:tc>
        <w:tc>
          <w:tcPr>
            <w:tcW w:w="630" w:type="dxa"/>
          </w:tcPr>
          <w:p w14:paraId="69C16CB1"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3</w:t>
            </w:r>
          </w:p>
        </w:tc>
        <w:tc>
          <w:tcPr>
            <w:tcW w:w="900" w:type="dxa"/>
          </w:tcPr>
          <w:p w14:paraId="3C73BC36"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33%</w:t>
            </w:r>
          </w:p>
        </w:tc>
        <w:tc>
          <w:tcPr>
            <w:tcW w:w="630" w:type="dxa"/>
          </w:tcPr>
          <w:p w14:paraId="555879F6" w14:textId="0A2DFCFA" w:rsidR="00FD2B71" w:rsidRPr="003B4081" w:rsidRDefault="0024329E" w:rsidP="006634E2">
            <w:pPr>
              <w:autoSpaceDE w:val="0"/>
              <w:autoSpaceDN w:val="0"/>
              <w:spacing w:before="0" w:after="0"/>
              <w:jc w:val="center"/>
              <w:rPr>
                <w:rFonts w:eastAsia="Arial Unicode MS"/>
              </w:rPr>
            </w:pPr>
            <w:r>
              <w:t>-</w:t>
            </w:r>
          </w:p>
        </w:tc>
        <w:tc>
          <w:tcPr>
            <w:tcW w:w="900" w:type="dxa"/>
          </w:tcPr>
          <w:p w14:paraId="3D8D3F63" w14:textId="39B617CA" w:rsidR="00FD2B71" w:rsidRPr="003B4081" w:rsidRDefault="0024329E" w:rsidP="006634E2">
            <w:pPr>
              <w:autoSpaceDE w:val="0"/>
              <w:autoSpaceDN w:val="0"/>
              <w:spacing w:before="0" w:after="0"/>
              <w:jc w:val="center"/>
              <w:rPr>
                <w:rFonts w:eastAsia="Arial Unicode MS"/>
              </w:rPr>
            </w:pPr>
            <w:r>
              <w:t>-</w:t>
            </w:r>
          </w:p>
        </w:tc>
        <w:tc>
          <w:tcPr>
            <w:tcW w:w="765" w:type="dxa"/>
          </w:tcPr>
          <w:p w14:paraId="065EEC8D" w14:textId="0C746EAD" w:rsidR="00FD2B71" w:rsidRPr="003B4081" w:rsidRDefault="00FD2B71" w:rsidP="006634E2">
            <w:pPr>
              <w:autoSpaceDE w:val="0"/>
              <w:autoSpaceDN w:val="0"/>
              <w:spacing w:before="0" w:after="0"/>
              <w:jc w:val="center"/>
              <w:rPr>
                <w:rFonts w:eastAsia="Arial Unicode MS"/>
              </w:rPr>
            </w:pPr>
            <w:r>
              <w:rPr>
                <w:rFonts w:eastAsia="Arial Unicode MS"/>
              </w:rPr>
              <w:t>4</w:t>
            </w:r>
          </w:p>
        </w:tc>
        <w:tc>
          <w:tcPr>
            <w:tcW w:w="765" w:type="dxa"/>
          </w:tcPr>
          <w:p w14:paraId="51FF4D05" w14:textId="172DFA34" w:rsidR="00FD2B71" w:rsidRPr="003B4081" w:rsidRDefault="00FD2B71" w:rsidP="006634E2">
            <w:pPr>
              <w:autoSpaceDE w:val="0"/>
              <w:autoSpaceDN w:val="0"/>
              <w:spacing w:before="0" w:after="0"/>
              <w:jc w:val="center"/>
              <w:rPr>
                <w:rFonts w:eastAsia="Arial Unicode MS"/>
              </w:rPr>
            </w:pPr>
            <w:r>
              <w:rPr>
                <w:rFonts w:eastAsia="Arial Unicode MS"/>
              </w:rPr>
              <w:t>20%</w:t>
            </w:r>
          </w:p>
        </w:tc>
      </w:tr>
      <w:tr w:rsidR="00FD2B71" w:rsidRPr="003B4081" w14:paraId="39797B65" w14:textId="77777777" w:rsidTr="00FD2B71">
        <w:trPr>
          <w:jc w:val="center"/>
        </w:trPr>
        <w:tc>
          <w:tcPr>
            <w:tcW w:w="3145" w:type="dxa"/>
            <w:shd w:val="clear" w:color="auto" w:fill="auto"/>
          </w:tcPr>
          <w:p w14:paraId="46572469" w14:textId="18D409F5" w:rsidR="00FD2B71" w:rsidRPr="003B4081" w:rsidRDefault="00FD2B71" w:rsidP="006634E2">
            <w:pPr>
              <w:autoSpaceDE w:val="0"/>
              <w:autoSpaceDN w:val="0"/>
              <w:spacing w:before="0" w:after="0"/>
              <w:jc w:val="both"/>
              <w:rPr>
                <w:rFonts w:eastAsia="Arial Unicode MS"/>
              </w:rPr>
            </w:pPr>
            <w:r>
              <w:rPr>
                <w:rFonts w:eastAsia="Arial Unicode MS"/>
              </w:rPr>
              <w:t>Stop Sticks</w:t>
            </w:r>
          </w:p>
        </w:tc>
        <w:tc>
          <w:tcPr>
            <w:tcW w:w="630" w:type="dxa"/>
          </w:tcPr>
          <w:p w14:paraId="181C9754" w14:textId="3102B6B3" w:rsidR="00FD2B71" w:rsidRPr="003B4081" w:rsidRDefault="0024329E" w:rsidP="006634E2">
            <w:pPr>
              <w:autoSpaceDE w:val="0"/>
              <w:autoSpaceDN w:val="0"/>
              <w:spacing w:before="0" w:after="0"/>
              <w:jc w:val="center"/>
              <w:rPr>
                <w:rFonts w:eastAsia="Arial Unicode MS"/>
              </w:rPr>
            </w:pPr>
            <w:r>
              <w:t>-</w:t>
            </w:r>
          </w:p>
        </w:tc>
        <w:tc>
          <w:tcPr>
            <w:tcW w:w="900" w:type="dxa"/>
          </w:tcPr>
          <w:p w14:paraId="1BE63A6C" w14:textId="69CFE2D2" w:rsidR="00FD2B71" w:rsidRPr="003B4081" w:rsidRDefault="0024329E" w:rsidP="006634E2">
            <w:pPr>
              <w:autoSpaceDE w:val="0"/>
              <w:autoSpaceDN w:val="0"/>
              <w:spacing w:before="0" w:after="0"/>
              <w:jc w:val="center"/>
              <w:rPr>
                <w:rFonts w:eastAsia="Arial Unicode MS"/>
              </w:rPr>
            </w:pPr>
            <w:r>
              <w:t>-</w:t>
            </w:r>
          </w:p>
        </w:tc>
        <w:tc>
          <w:tcPr>
            <w:tcW w:w="630" w:type="dxa"/>
          </w:tcPr>
          <w:p w14:paraId="6A5C10F5" w14:textId="59D89907" w:rsidR="00FD2B71" w:rsidRPr="003B4081" w:rsidRDefault="0024329E" w:rsidP="006634E2">
            <w:pPr>
              <w:autoSpaceDE w:val="0"/>
              <w:autoSpaceDN w:val="0"/>
              <w:spacing w:before="0" w:after="0"/>
              <w:jc w:val="center"/>
              <w:rPr>
                <w:rFonts w:eastAsia="Arial Unicode MS"/>
              </w:rPr>
            </w:pPr>
            <w:r>
              <w:rPr>
                <w:rFonts w:eastAsia="Arial Unicode MS"/>
              </w:rPr>
              <w:t>-</w:t>
            </w:r>
          </w:p>
        </w:tc>
        <w:tc>
          <w:tcPr>
            <w:tcW w:w="900" w:type="dxa"/>
          </w:tcPr>
          <w:p w14:paraId="69036B08" w14:textId="65738592" w:rsidR="00FD2B71" w:rsidRPr="003B4081" w:rsidRDefault="0024329E" w:rsidP="006634E2">
            <w:pPr>
              <w:autoSpaceDE w:val="0"/>
              <w:autoSpaceDN w:val="0"/>
              <w:spacing w:before="0" w:after="0"/>
              <w:jc w:val="center"/>
              <w:rPr>
                <w:rFonts w:eastAsia="Arial Unicode MS"/>
              </w:rPr>
            </w:pPr>
            <w:r>
              <w:rPr>
                <w:rFonts w:eastAsia="Arial Unicode MS"/>
              </w:rPr>
              <w:t>-</w:t>
            </w:r>
          </w:p>
        </w:tc>
        <w:tc>
          <w:tcPr>
            <w:tcW w:w="765" w:type="dxa"/>
          </w:tcPr>
          <w:p w14:paraId="432DFE8D" w14:textId="0472C595" w:rsidR="00FD2B71" w:rsidRDefault="00FD2B71" w:rsidP="006634E2">
            <w:pPr>
              <w:autoSpaceDE w:val="0"/>
              <w:autoSpaceDN w:val="0"/>
              <w:spacing w:before="0" w:after="0"/>
              <w:jc w:val="center"/>
              <w:rPr>
                <w:rFonts w:eastAsia="Arial Unicode MS"/>
              </w:rPr>
            </w:pPr>
            <w:r>
              <w:rPr>
                <w:rFonts w:eastAsia="Arial Unicode MS"/>
              </w:rPr>
              <w:t>1</w:t>
            </w:r>
          </w:p>
        </w:tc>
        <w:tc>
          <w:tcPr>
            <w:tcW w:w="765" w:type="dxa"/>
          </w:tcPr>
          <w:p w14:paraId="568B4F99" w14:textId="26819C9B" w:rsidR="00FD2B71" w:rsidRPr="003B4081" w:rsidRDefault="00FD2B71" w:rsidP="006634E2">
            <w:pPr>
              <w:autoSpaceDE w:val="0"/>
              <w:autoSpaceDN w:val="0"/>
              <w:spacing w:before="0" w:after="0"/>
              <w:jc w:val="center"/>
              <w:rPr>
                <w:rFonts w:eastAsia="Arial Unicode MS"/>
              </w:rPr>
            </w:pPr>
            <w:r>
              <w:rPr>
                <w:rFonts w:eastAsia="Arial Unicode MS"/>
              </w:rPr>
              <w:t>5%</w:t>
            </w:r>
          </w:p>
        </w:tc>
      </w:tr>
      <w:tr w:rsidR="006B6D03" w:rsidRPr="003C07CB" w14:paraId="25716C6D" w14:textId="77777777" w:rsidTr="00FD2B71">
        <w:trPr>
          <w:jc w:val="center"/>
        </w:trPr>
        <w:tc>
          <w:tcPr>
            <w:tcW w:w="3145" w:type="dxa"/>
            <w:shd w:val="clear" w:color="auto" w:fill="auto"/>
          </w:tcPr>
          <w:p w14:paraId="16AF2CE4" w14:textId="22A89498" w:rsidR="006B6D03" w:rsidRPr="0084567C" w:rsidRDefault="006B6D03" w:rsidP="006634E2">
            <w:pPr>
              <w:autoSpaceDE w:val="0"/>
              <w:autoSpaceDN w:val="0"/>
              <w:spacing w:before="0" w:after="0"/>
              <w:jc w:val="both"/>
              <w:rPr>
                <w:rFonts w:eastAsia="Arial Unicode MS"/>
              </w:rPr>
            </w:pPr>
            <w:r w:rsidRPr="0084567C">
              <w:rPr>
                <w:rFonts w:eastAsia="Arial Unicode MS"/>
              </w:rPr>
              <w:t>TPD vehicle collision</w:t>
            </w:r>
          </w:p>
        </w:tc>
        <w:tc>
          <w:tcPr>
            <w:tcW w:w="630" w:type="dxa"/>
          </w:tcPr>
          <w:p w14:paraId="5959D3C9" w14:textId="38594896" w:rsidR="006B6D03" w:rsidRPr="0084567C" w:rsidRDefault="006B6D03" w:rsidP="006634E2">
            <w:pPr>
              <w:autoSpaceDE w:val="0"/>
              <w:autoSpaceDN w:val="0"/>
              <w:spacing w:before="0" w:after="0"/>
              <w:jc w:val="center"/>
              <w:rPr>
                <w:rFonts w:eastAsia="Arial Unicode MS"/>
              </w:rPr>
            </w:pPr>
            <w:r w:rsidRPr="0084567C">
              <w:rPr>
                <w:rFonts w:eastAsia="Arial Unicode MS"/>
              </w:rPr>
              <w:t>-</w:t>
            </w:r>
          </w:p>
        </w:tc>
        <w:tc>
          <w:tcPr>
            <w:tcW w:w="900" w:type="dxa"/>
          </w:tcPr>
          <w:p w14:paraId="661E9F42" w14:textId="54427344" w:rsidR="006B6D03" w:rsidRPr="0084567C" w:rsidRDefault="006B6D03" w:rsidP="006634E2">
            <w:pPr>
              <w:autoSpaceDE w:val="0"/>
              <w:autoSpaceDN w:val="0"/>
              <w:spacing w:before="0" w:after="0"/>
              <w:jc w:val="center"/>
              <w:rPr>
                <w:rFonts w:eastAsia="Arial Unicode MS"/>
              </w:rPr>
            </w:pPr>
            <w:r w:rsidRPr="0084567C">
              <w:rPr>
                <w:rFonts w:eastAsia="Arial Unicode MS"/>
              </w:rPr>
              <w:t>-</w:t>
            </w:r>
          </w:p>
        </w:tc>
        <w:tc>
          <w:tcPr>
            <w:tcW w:w="630" w:type="dxa"/>
          </w:tcPr>
          <w:p w14:paraId="3FD08DA1" w14:textId="144CCA34" w:rsidR="006B6D03" w:rsidRPr="0084567C" w:rsidRDefault="006B6D03" w:rsidP="006634E2">
            <w:pPr>
              <w:autoSpaceDE w:val="0"/>
              <w:autoSpaceDN w:val="0"/>
              <w:spacing w:before="0" w:after="0"/>
              <w:jc w:val="center"/>
              <w:rPr>
                <w:rFonts w:eastAsia="Arial Unicode MS"/>
              </w:rPr>
            </w:pPr>
            <w:r w:rsidRPr="0084567C">
              <w:rPr>
                <w:rFonts w:eastAsia="Arial Unicode MS"/>
              </w:rPr>
              <w:t>-</w:t>
            </w:r>
          </w:p>
        </w:tc>
        <w:tc>
          <w:tcPr>
            <w:tcW w:w="900" w:type="dxa"/>
          </w:tcPr>
          <w:p w14:paraId="3ED62D7C" w14:textId="60F5DFD7" w:rsidR="006B6D03" w:rsidRPr="0084567C" w:rsidRDefault="006B6D03" w:rsidP="006634E2">
            <w:pPr>
              <w:autoSpaceDE w:val="0"/>
              <w:autoSpaceDN w:val="0"/>
              <w:spacing w:before="0" w:after="0"/>
              <w:jc w:val="center"/>
              <w:rPr>
                <w:rFonts w:eastAsia="Arial Unicode MS"/>
              </w:rPr>
            </w:pPr>
            <w:r w:rsidRPr="0084567C">
              <w:rPr>
                <w:rFonts w:eastAsia="Arial Unicode MS"/>
              </w:rPr>
              <w:t>-</w:t>
            </w:r>
          </w:p>
        </w:tc>
        <w:tc>
          <w:tcPr>
            <w:tcW w:w="765" w:type="dxa"/>
          </w:tcPr>
          <w:p w14:paraId="399BB947" w14:textId="0B59637F" w:rsidR="006B6D03" w:rsidRPr="0084567C" w:rsidRDefault="006B6D03" w:rsidP="006634E2">
            <w:pPr>
              <w:autoSpaceDE w:val="0"/>
              <w:autoSpaceDN w:val="0"/>
              <w:spacing w:before="0" w:after="0"/>
              <w:jc w:val="center"/>
              <w:rPr>
                <w:rFonts w:eastAsia="Arial Unicode MS"/>
              </w:rPr>
            </w:pPr>
            <w:r w:rsidRPr="0084567C">
              <w:rPr>
                <w:rFonts w:eastAsia="Arial Unicode MS"/>
              </w:rPr>
              <w:t>0</w:t>
            </w:r>
          </w:p>
        </w:tc>
        <w:tc>
          <w:tcPr>
            <w:tcW w:w="765" w:type="dxa"/>
          </w:tcPr>
          <w:p w14:paraId="261F9A5B" w14:textId="10A7DC05" w:rsidR="006B6D03" w:rsidRPr="0084567C" w:rsidRDefault="006B6D03" w:rsidP="006634E2">
            <w:pPr>
              <w:autoSpaceDE w:val="0"/>
              <w:autoSpaceDN w:val="0"/>
              <w:spacing w:before="0" w:after="0"/>
              <w:jc w:val="center"/>
              <w:rPr>
                <w:rFonts w:eastAsia="Arial Unicode MS"/>
              </w:rPr>
            </w:pPr>
            <w:r w:rsidRPr="0084567C">
              <w:rPr>
                <w:rFonts w:eastAsia="Arial Unicode MS"/>
              </w:rPr>
              <w:t>-</w:t>
            </w:r>
          </w:p>
        </w:tc>
      </w:tr>
      <w:tr w:rsidR="00FD2B71" w:rsidRPr="003B4081" w14:paraId="50D03372" w14:textId="4A3A8B9D" w:rsidTr="00FD2B71">
        <w:trPr>
          <w:jc w:val="center"/>
        </w:trPr>
        <w:tc>
          <w:tcPr>
            <w:tcW w:w="3145" w:type="dxa"/>
            <w:shd w:val="clear" w:color="auto" w:fill="auto"/>
          </w:tcPr>
          <w:p w14:paraId="3775C258" w14:textId="77777777" w:rsidR="00FD2B71" w:rsidRPr="003B4081" w:rsidRDefault="00FD2B71" w:rsidP="006634E2">
            <w:pPr>
              <w:autoSpaceDE w:val="0"/>
              <w:autoSpaceDN w:val="0"/>
              <w:spacing w:before="0" w:after="0"/>
              <w:jc w:val="both"/>
              <w:rPr>
                <w:rFonts w:eastAsia="Arial Unicode MS"/>
              </w:rPr>
            </w:pPr>
            <w:r w:rsidRPr="003B4081">
              <w:rPr>
                <w:rFonts w:eastAsia="Arial Unicode MS"/>
              </w:rPr>
              <w:t>Suspect stopped vehicle</w:t>
            </w:r>
          </w:p>
        </w:tc>
        <w:tc>
          <w:tcPr>
            <w:tcW w:w="630" w:type="dxa"/>
          </w:tcPr>
          <w:p w14:paraId="0A7DCE4B"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1</w:t>
            </w:r>
          </w:p>
        </w:tc>
        <w:tc>
          <w:tcPr>
            <w:tcW w:w="900" w:type="dxa"/>
          </w:tcPr>
          <w:p w14:paraId="175FC9DF"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11%</w:t>
            </w:r>
          </w:p>
        </w:tc>
        <w:tc>
          <w:tcPr>
            <w:tcW w:w="630" w:type="dxa"/>
          </w:tcPr>
          <w:p w14:paraId="37AED314" w14:textId="4AA75F08" w:rsidR="00FD2B71" w:rsidRPr="003B4081" w:rsidRDefault="00FD2B71" w:rsidP="006634E2">
            <w:pPr>
              <w:autoSpaceDE w:val="0"/>
              <w:autoSpaceDN w:val="0"/>
              <w:spacing w:before="0" w:after="0"/>
              <w:jc w:val="center"/>
              <w:rPr>
                <w:rFonts w:eastAsia="Arial Unicode MS"/>
              </w:rPr>
            </w:pPr>
            <w:r w:rsidRPr="003B4081">
              <w:rPr>
                <w:rFonts w:eastAsia="Arial Unicode MS"/>
              </w:rPr>
              <w:t>1</w:t>
            </w:r>
          </w:p>
        </w:tc>
        <w:tc>
          <w:tcPr>
            <w:tcW w:w="900" w:type="dxa"/>
          </w:tcPr>
          <w:p w14:paraId="2DD14CAC" w14:textId="20E41B32" w:rsidR="00FD2B71" w:rsidRPr="003B4081" w:rsidRDefault="00FD2B71" w:rsidP="006634E2">
            <w:pPr>
              <w:autoSpaceDE w:val="0"/>
              <w:autoSpaceDN w:val="0"/>
              <w:spacing w:before="0" w:after="0"/>
              <w:jc w:val="center"/>
              <w:rPr>
                <w:rFonts w:eastAsia="Arial Unicode MS"/>
              </w:rPr>
            </w:pPr>
            <w:r w:rsidRPr="003B4081">
              <w:rPr>
                <w:rFonts w:eastAsia="Arial Unicode MS"/>
              </w:rPr>
              <w:t>100%</w:t>
            </w:r>
          </w:p>
        </w:tc>
        <w:tc>
          <w:tcPr>
            <w:tcW w:w="765" w:type="dxa"/>
          </w:tcPr>
          <w:p w14:paraId="3D74E844" w14:textId="47DBB87D" w:rsidR="00FD2B71" w:rsidRPr="003B4081" w:rsidRDefault="00FD2B71" w:rsidP="006634E2">
            <w:pPr>
              <w:autoSpaceDE w:val="0"/>
              <w:autoSpaceDN w:val="0"/>
              <w:spacing w:before="0" w:after="0"/>
              <w:jc w:val="center"/>
              <w:rPr>
                <w:rFonts w:eastAsia="Arial Unicode MS"/>
              </w:rPr>
            </w:pPr>
            <w:r>
              <w:rPr>
                <w:rFonts w:eastAsia="Arial Unicode MS"/>
              </w:rPr>
              <w:t>2</w:t>
            </w:r>
          </w:p>
        </w:tc>
        <w:tc>
          <w:tcPr>
            <w:tcW w:w="765" w:type="dxa"/>
          </w:tcPr>
          <w:p w14:paraId="430AD4DC" w14:textId="55F7D2E9" w:rsidR="00FD2B71" w:rsidRPr="003B4081" w:rsidRDefault="00FD2B71" w:rsidP="006634E2">
            <w:pPr>
              <w:autoSpaceDE w:val="0"/>
              <w:autoSpaceDN w:val="0"/>
              <w:spacing w:before="0" w:after="0"/>
              <w:jc w:val="center"/>
              <w:rPr>
                <w:rFonts w:eastAsia="Arial Unicode MS"/>
              </w:rPr>
            </w:pPr>
            <w:r>
              <w:rPr>
                <w:rFonts w:eastAsia="Arial Unicode MS"/>
              </w:rPr>
              <w:t>10%</w:t>
            </w:r>
          </w:p>
        </w:tc>
      </w:tr>
      <w:tr w:rsidR="00FD2B71" w:rsidRPr="003B4081" w14:paraId="2130F05B" w14:textId="1194D910" w:rsidTr="00FD2B71">
        <w:trPr>
          <w:jc w:val="center"/>
        </w:trPr>
        <w:tc>
          <w:tcPr>
            <w:tcW w:w="3145" w:type="dxa"/>
            <w:shd w:val="clear" w:color="auto" w:fill="auto"/>
          </w:tcPr>
          <w:p w14:paraId="5E528889" w14:textId="77777777" w:rsidR="00FD2B71" w:rsidRPr="003B4081" w:rsidRDefault="00FD2B71" w:rsidP="006634E2">
            <w:pPr>
              <w:autoSpaceDE w:val="0"/>
              <w:autoSpaceDN w:val="0"/>
              <w:spacing w:before="0" w:after="0"/>
              <w:jc w:val="both"/>
              <w:rPr>
                <w:rFonts w:eastAsia="Arial Unicode MS"/>
              </w:rPr>
            </w:pPr>
            <w:r w:rsidRPr="003B4081">
              <w:rPr>
                <w:rFonts w:eastAsia="Arial Unicode MS"/>
              </w:rPr>
              <w:t>Suspect vehicle crashed</w:t>
            </w:r>
          </w:p>
        </w:tc>
        <w:tc>
          <w:tcPr>
            <w:tcW w:w="630" w:type="dxa"/>
          </w:tcPr>
          <w:p w14:paraId="427BC458"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2</w:t>
            </w:r>
          </w:p>
        </w:tc>
        <w:tc>
          <w:tcPr>
            <w:tcW w:w="900" w:type="dxa"/>
          </w:tcPr>
          <w:p w14:paraId="212846CD"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22%</w:t>
            </w:r>
          </w:p>
        </w:tc>
        <w:tc>
          <w:tcPr>
            <w:tcW w:w="630" w:type="dxa"/>
          </w:tcPr>
          <w:p w14:paraId="3F24AFE1" w14:textId="1423D018" w:rsidR="00FD2B71" w:rsidRPr="003B4081" w:rsidRDefault="0024329E" w:rsidP="006634E2">
            <w:pPr>
              <w:autoSpaceDE w:val="0"/>
              <w:autoSpaceDN w:val="0"/>
              <w:spacing w:before="0" w:after="0"/>
              <w:jc w:val="center"/>
              <w:rPr>
                <w:rFonts w:eastAsia="Arial Unicode MS"/>
              </w:rPr>
            </w:pPr>
            <w:r>
              <w:rPr>
                <w:rFonts w:eastAsia="Arial Unicode MS"/>
              </w:rPr>
              <w:t>-</w:t>
            </w:r>
          </w:p>
        </w:tc>
        <w:tc>
          <w:tcPr>
            <w:tcW w:w="900" w:type="dxa"/>
          </w:tcPr>
          <w:p w14:paraId="636C6F30" w14:textId="3CF2E1E4" w:rsidR="00FD2B71" w:rsidRPr="003B4081" w:rsidRDefault="0024329E" w:rsidP="006634E2">
            <w:pPr>
              <w:autoSpaceDE w:val="0"/>
              <w:autoSpaceDN w:val="0"/>
              <w:spacing w:before="0" w:after="0"/>
              <w:jc w:val="center"/>
              <w:rPr>
                <w:rFonts w:eastAsia="Arial Unicode MS"/>
              </w:rPr>
            </w:pPr>
            <w:r>
              <w:rPr>
                <w:rFonts w:eastAsia="Arial Unicode MS"/>
              </w:rPr>
              <w:t>-</w:t>
            </w:r>
          </w:p>
        </w:tc>
        <w:tc>
          <w:tcPr>
            <w:tcW w:w="765" w:type="dxa"/>
          </w:tcPr>
          <w:p w14:paraId="29F9F453" w14:textId="39967589" w:rsidR="00FD2B71" w:rsidRPr="003B4081" w:rsidRDefault="00FD2B71" w:rsidP="006634E2">
            <w:pPr>
              <w:autoSpaceDE w:val="0"/>
              <w:autoSpaceDN w:val="0"/>
              <w:spacing w:before="0" w:after="0"/>
              <w:jc w:val="center"/>
              <w:rPr>
                <w:rFonts w:eastAsia="Arial Unicode MS"/>
              </w:rPr>
            </w:pPr>
            <w:r>
              <w:rPr>
                <w:rFonts w:eastAsia="Arial Unicode MS"/>
              </w:rPr>
              <w:t>5</w:t>
            </w:r>
          </w:p>
        </w:tc>
        <w:tc>
          <w:tcPr>
            <w:tcW w:w="765" w:type="dxa"/>
          </w:tcPr>
          <w:p w14:paraId="1657E5D3" w14:textId="20E5EEBD" w:rsidR="00FD2B71" w:rsidRPr="003B4081" w:rsidRDefault="00FD2B71" w:rsidP="006634E2">
            <w:pPr>
              <w:autoSpaceDE w:val="0"/>
              <w:autoSpaceDN w:val="0"/>
              <w:spacing w:before="0" w:after="0"/>
              <w:jc w:val="center"/>
              <w:rPr>
                <w:rFonts w:eastAsia="Arial Unicode MS"/>
              </w:rPr>
            </w:pPr>
            <w:r>
              <w:rPr>
                <w:rFonts w:eastAsia="Arial Unicode MS"/>
              </w:rPr>
              <w:t>25%</w:t>
            </w:r>
          </w:p>
        </w:tc>
      </w:tr>
      <w:tr w:rsidR="00FD2B71" w:rsidRPr="003B4081" w14:paraId="3B292F29" w14:textId="45188D2B" w:rsidTr="00FD2B71">
        <w:trPr>
          <w:jc w:val="center"/>
        </w:trPr>
        <w:tc>
          <w:tcPr>
            <w:tcW w:w="3145" w:type="dxa"/>
            <w:shd w:val="clear" w:color="auto" w:fill="auto"/>
          </w:tcPr>
          <w:p w14:paraId="6D818A47" w14:textId="77777777" w:rsidR="00FD2B71" w:rsidRPr="003B4081" w:rsidRDefault="00FD2B71" w:rsidP="006634E2">
            <w:pPr>
              <w:autoSpaceDE w:val="0"/>
              <w:autoSpaceDN w:val="0"/>
              <w:spacing w:before="0" w:after="0"/>
              <w:jc w:val="both"/>
              <w:rPr>
                <w:rFonts w:eastAsia="Arial Unicode MS"/>
              </w:rPr>
            </w:pPr>
            <w:r w:rsidRPr="003B4081">
              <w:rPr>
                <w:rFonts w:eastAsia="Arial Unicode MS"/>
              </w:rPr>
              <w:t>Suspect vehicle eluded pursuit</w:t>
            </w:r>
          </w:p>
        </w:tc>
        <w:tc>
          <w:tcPr>
            <w:tcW w:w="630" w:type="dxa"/>
          </w:tcPr>
          <w:p w14:paraId="1EA28E6B"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1</w:t>
            </w:r>
          </w:p>
        </w:tc>
        <w:tc>
          <w:tcPr>
            <w:tcW w:w="900" w:type="dxa"/>
          </w:tcPr>
          <w:p w14:paraId="5D3E53FE" w14:textId="77777777" w:rsidR="00FD2B71" w:rsidRPr="003B4081" w:rsidRDefault="00FD2B71" w:rsidP="006634E2">
            <w:pPr>
              <w:autoSpaceDE w:val="0"/>
              <w:autoSpaceDN w:val="0"/>
              <w:spacing w:before="0" w:after="0"/>
              <w:jc w:val="center"/>
              <w:rPr>
                <w:rFonts w:eastAsia="Arial Unicode MS"/>
              </w:rPr>
            </w:pPr>
            <w:r w:rsidRPr="003B4081">
              <w:rPr>
                <w:rFonts w:eastAsia="Arial Unicode MS"/>
              </w:rPr>
              <w:t>11%</w:t>
            </w:r>
          </w:p>
        </w:tc>
        <w:tc>
          <w:tcPr>
            <w:tcW w:w="630" w:type="dxa"/>
          </w:tcPr>
          <w:p w14:paraId="5A98747D" w14:textId="7D49C9D2" w:rsidR="00FD2B71" w:rsidRPr="003B4081" w:rsidRDefault="0024329E" w:rsidP="006634E2">
            <w:pPr>
              <w:autoSpaceDE w:val="0"/>
              <w:autoSpaceDN w:val="0"/>
              <w:spacing w:before="0" w:after="0"/>
              <w:jc w:val="center"/>
              <w:rPr>
                <w:rFonts w:eastAsia="Arial Unicode MS"/>
              </w:rPr>
            </w:pPr>
            <w:r>
              <w:rPr>
                <w:rFonts w:eastAsia="Arial Unicode MS"/>
              </w:rPr>
              <w:t>-</w:t>
            </w:r>
          </w:p>
        </w:tc>
        <w:tc>
          <w:tcPr>
            <w:tcW w:w="900" w:type="dxa"/>
          </w:tcPr>
          <w:p w14:paraId="5E226CE8" w14:textId="4CD0B202" w:rsidR="00FD2B71" w:rsidRPr="003B4081" w:rsidRDefault="0024329E" w:rsidP="006634E2">
            <w:pPr>
              <w:autoSpaceDE w:val="0"/>
              <w:autoSpaceDN w:val="0"/>
              <w:spacing w:before="0" w:after="0"/>
              <w:jc w:val="center"/>
              <w:rPr>
                <w:rFonts w:eastAsia="Arial Unicode MS"/>
              </w:rPr>
            </w:pPr>
            <w:r>
              <w:rPr>
                <w:rFonts w:eastAsia="Arial Unicode MS"/>
              </w:rPr>
              <w:t>-</w:t>
            </w:r>
          </w:p>
        </w:tc>
        <w:tc>
          <w:tcPr>
            <w:tcW w:w="765" w:type="dxa"/>
          </w:tcPr>
          <w:p w14:paraId="31F1CE24" w14:textId="30049E9B" w:rsidR="00FD2B71" w:rsidRPr="003B4081" w:rsidRDefault="00FD2B71" w:rsidP="006634E2">
            <w:pPr>
              <w:autoSpaceDE w:val="0"/>
              <w:autoSpaceDN w:val="0"/>
              <w:spacing w:before="0" w:after="0"/>
              <w:jc w:val="center"/>
              <w:rPr>
                <w:rFonts w:eastAsia="Arial Unicode MS"/>
              </w:rPr>
            </w:pPr>
            <w:r>
              <w:rPr>
                <w:rFonts w:eastAsia="Arial Unicode MS"/>
              </w:rPr>
              <w:t>4</w:t>
            </w:r>
          </w:p>
        </w:tc>
        <w:tc>
          <w:tcPr>
            <w:tcW w:w="765" w:type="dxa"/>
          </w:tcPr>
          <w:p w14:paraId="59EC8954" w14:textId="29381D8F" w:rsidR="00FD2B71" w:rsidRPr="003B4081" w:rsidRDefault="00FD2B71" w:rsidP="006634E2">
            <w:pPr>
              <w:autoSpaceDE w:val="0"/>
              <w:autoSpaceDN w:val="0"/>
              <w:spacing w:before="0" w:after="0"/>
              <w:jc w:val="center"/>
              <w:rPr>
                <w:rFonts w:eastAsia="Arial Unicode MS"/>
              </w:rPr>
            </w:pPr>
            <w:r>
              <w:rPr>
                <w:rFonts w:eastAsia="Arial Unicode MS"/>
              </w:rPr>
              <w:t>20%</w:t>
            </w:r>
          </w:p>
        </w:tc>
      </w:tr>
    </w:tbl>
    <w:p w14:paraId="1C994763" w14:textId="77777777" w:rsidR="001B6DB7" w:rsidRDefault="004E1CEC" w:rsidP="0084567C">
      <w:pPr>
        <w:autoSpaceDE w:val="0"/>
        <w:autoSpaceDN w:val="0"/>
        <w:spacing w:before="240" w:after="120"/>
        <w:jc w:val="both"/>
        <w:rPr>
          <w:rFonts w:eastAsia="Arial Unicode MS"/>
        </w:rPr>
      </w:pPr>
      <w:r>
        <w:rPr>
          <w:rFonts w:eastAsia="Arial Unicode MS"/>
        </w:rPr>
        <w:t xml:space="preserve">Five of the 20 </w:t>
      </w:r>
      <w:r w:rsidR="00135C2F">
        <w:rPr>
          <w:rFonts w:eastAsia="Arial Unicode MS"/>
        </w:rPr>
        <w:t>V</w:t>
      </w:r>
      <w:r>
        <w:rPr>
          <w:rFonts w:eastAsia="Arial Unicode MS"/>
        </w:rPr>
        <w:t xml:space="preserve">ehicle </w:t>
      </w:r>
      <w:r w:rsidR="00135C2F">
        <w:rPr>
          <w:rFonts w:eastAsia="Arial Unicode MS"/>
        </w:rPr>
        <w:t>P</w:t>
      </w:r>
      <w:r>
        <w:rPr>
          <w:rFonts w:eastAsia="Arial Unicode MS"/>
        </w:rPr>
        <w:t>ursuits (</w:t>
      </w:r>
      <w:r w:rsidR="00FD2B71">
        <w:rPr>
          <w:rFonts w:eastAsia="Arial Unicode MS"/>
        </w:rPr>
        <w:t>25%</w:t>
      </w:r>
      <w:r>
        <w:rPr>
          <w:rFonts w:eastAsia="Arial Unicode MS"/>
        </w:rPr>
        <w:t>)</w:t>
      </w:r>
      <w:r w:rsidR="00FD2B71" w:rsidRPr="003B4081">
        <w:rPr>
          <w:rFonts w:eastAsia="Arial Unicode MS"/>
        </w:rPr>
        <w:t xml:space="preserve"> </w:t>
      </w:r>
      <w:r w:rsidR="00FD2B71">
        <w:rPr>
          <w:rFonts w:eastAsia="Arial Unicode MS"/>
        </w:rPr>
        <w:t xml:space="preserve">concluded when the suspect vehicle crashed. </w:t>
      </w:r>
      <w:r w:rsidR="00FD2B71" w:rsidRPr="003034AE">
        <w:rPr>
          <w:rFonts w:eastAsia="Arial Unicode MS"/>
        </w:rPr>
        <w:t>In one incident, the suspect vehicle crashed into the center median of the roadway.</w:t>
      </w:r>
      <w:r w:rsidR="00FD2B71">
        <w:rPr>
          <w:rFonts w:eastAsia="Arial Unicode MS"/>
        </w:rPr>
        <w:t xml:space="preserve"> In four of the pursuits, the suspect vehicle crashed into uninvolved vehicles. One of those, however, was ultimately determined by the Bureau chain-of-command to be “Unfounded” as a pursuit. That “Unfounded” pursuit (22PUR-0001) was left as a pursuit in this analysis since that was its original classification in IAPro. None of the collisions involved serious injuries</w:t>
      </w:r>
      <w:r w:rsidR="00BF0762">
        <w:rPr>
          <w:rFonts w:eastAsia="Arial Unicode MS"/>
        </w:rPr>
        <w:t xml:space="preserve"> to suspects or uninvolved community members. </w:t>
      </w:r>
    </w:p>
    <w:p w14:paraId="2EF97251" w14:textId="08230C52" w:rsidR="001B6DB7" w:rsidRDefault="001B6DB7" w:rsidP="0084567C">
      <w:pPr>
        <w:autoSpaceDE w:val="0"/>
        <w:autoSpaceDN w:val="0"/>
        <w:spacing w:before="120" w:after="120"/>
        <w:jc w:val="both"/>
        <w:rPr>
          <w:rFonts w:eastAsia="Arial Unicode MS"/>
        </w:rPr>
      </w:pPr>
      <w:r w:rsidRPr="0084567C">
        <w:rPr>
          <w:rFonts w:eastAsia="Arial Unicode MS"/>
        </w:rPr>
        <w:t xml:space="preserve">Some minor damage </w:t>
      </w:r>
      <w:r w:rsidR="00051BB7" w:rsidRPr="0084567C">
        <w:rPr>
          <w:rFonts w:eastAsia="Arial Unicode MS"/>
        </w:rPr>
        <w:t xml:space="preserve">can be expected </w:t>
      </w:r>
      <w:r w:rsidRPr="0084567C">
        <w:rPr>
          <w:rFonts w:eastAsia="Arial Unicode MS"/>
        </w:rPr>
        <w:t>to police vehicles being used as a tool regarding the Pursuit Immobilization Technique (PIT)</w:t>
      </w:r>
      <w:r w:rsidR="0084567C" w:rsidRPr="0084567C">
        <w:rPr>
          <w:rFonts w:eastAsia="Arial Unicode MS"/>
        </w:rPr>
        <w:t>;</w:t>
      </w:r>
      <w:r w:rsidRPr="0084567C">
        <w:rPr>
          <w:rFonts w:eastAsia="Arial Unicode MS"/>
        </w:rPr>
        <w:t xml:space="preserve"> however</w:t>
      </w:r>
      <w:r w:rsidR="0084567C" w:rsidRPr="0084567C">
        <w:rPr>
          <w:rFonts w:eastAsia="Arial Unicode MS"/>
        </w:rPr>
        <w:t>,</w:t>
      </w:r>
      <w:r w:rsidRPr="0084567C">
        <w:rPr>
          <w:rFonts w:eastAsia="Arial Unicode MS"/>
        </w:rPr>
        <w:t xml:space="preserve"> no police vehicles were involved in a collision during these pursuits. </w:t>
      </w:r>
      <w:r w:rsidR="00BF0762" w:rsidRPr="0084567C">
        <w:rPr>
          <w:rFonts w:eastAsia="Arial Unicode MS"/>
        </w:rPr>
        <w:t xml:space="preserve">No officers were injured during </w:t>
      </w:r>
      <w:r w:rsidRPr="0084567C">
        <w:rPr>
          <w:rFonts w:eastAsia="Arial Unicode MS"/>
        </w:rPr>
        <w:t>a</w:t>
      </w:r>
      <w:r w:rsidR="00BF0762" w:rsidRPr="0084567C">
        <w:rPr>
          <w:rFonts w:eastAsia="Arial Unicode MS"/>
        </w:rPr>
        <w:t>n</w:t>
      </w:r>
      <w:r w:rsidRPr="0084567C">
        <w:rPr>
          <w:rFonts w:eastAsia="Arial Unicode MS"/>
        </w:rPr>
        <w:t>y</w:t>
      </w:r>
      <w:r w:rsidR="00BF0762" w:rsidRPr="0084567C">
        <w:rPr>
          <w:rFonts w:eastAsia="Arial Unicode MS"/>
        </w:rPr>
        <w:t xml:space="preserve"> of these pursuits.</w:t>
      </w:r>
    </w:p>
    <w:p w14:paraId="681BAD64" w14:textId="2615D783" w:rsidR="00F06E02" w:rsidRPr="004E1CEC" w:rsidRDefault="001B6DB7" w:rsidP="0084567C">
      <w:pPr>
        <w:autoSpaceDE w:val="0"/>
        <w:autoSpaceDN w:val="0"/>
        <w:spacing w:before="240"/>
        <w:jc w:val="both"/>
        <w:rPr>
          <w:rFonts w:eastAsia="Arial Unicode MS"/>
          <w:b/>
          <w:bCs/>
          <w:caps/>
          <w:u w:val="single"/>
        </w:rPr>
      </w:pPr>
      <w:r>
        <w:rPr>
          <w:rFonts w:eastAsia="Arial Unicode MS"/>
          <w:b/>
          <w:bCs/>
          <w:caps/>
          <w:u w:val="single"/>
        </w:rPr>
        <w:t>A</w:t>
      </w:r>
      <w:r w:rsidR="00F06E02" w:rsidRPr="004E1CEC">
        <w:rPr>
          <w:rFonts w:eastAsia="Arial Unicode MS"/>
          <w:b/>
          <w:bCs/>
          <w:caps/>
          <w:u w:val="single"/>
        </w:rPr>
        <w:t>NALYSIS</w:t>
      </w:r>
      <w:r w:rsidR="004E1CEC" w:rsidRPr="004E1CEC">
        <w:rPr>
          <w:rFonts w:eastAsia="Arial Unicode MS"/>
          <w:b/>
          <w:bCs/>
          <w:caps/>
          <w:u w:val="single"/>
        </w:rPr>
        <w:t xml:space="preserve"> </w:t>
      </w:r>
    </w:p>
    <w:p w14:paraId="1CEF835C" w14:textId="2B8F1732" w:rsidR="00744D4F" w:rsidRDefault="00744D4F" w:rsidP="00744D4F">
      <w:pPr>
        <w:autoSpaceDE w:val="0"/>
        <w:autoSpaceDN w:val="0"/>
        <w:spacing w:before="120" w:after="0"/>
        <w:jc w:val="both"/>
        <w:rPr>
          <w:rFonts w:eastAsia="Arial Unicode MS"/>
          <w:b/>
          <w:bCs/>
        </w:rPr>
      </w:pPr>
      <w:r>
        <w:rPr>
          <w:rFonts w:eastAsia="Arial Unicode MS"/>
          <w:b/>
          <w:bCs/>
        </w:rPr>
        <w:t>Patterns and Trends</w:t>
      </w:r>
    </w:p>
    <w:p w14:paraId="10F93960" w14:textId="47582E28" w:rsidR="004E1CEC" w:rsidRPr="000A53C6" w:rsidRDefault="00836F71" w:rsidP="004E1CEC">
      <w:pPr>
        <w:autoSpaceDE w:val="0"/>
        <w:autoSpaceDN w:val="0"/>
        <w:spacing w:before="0" w:after="120"/>
        <w:jc w:val="both"/>
        <w:rPr>
          <w:rFonts w:eastAsia="Arial Unicode MS"/>
        </w:rPr>
      </w:pPr>
      <w:r w:rsidRPr="000A53C6">
        <w:rPr>
          <w:rFonts w:eastAsia="Arial Unicode MS"/>
        </w:rPr>
        <w:t>In 202</w:t>
      </w:r>
      <w:r w:rsidR="004E1CEC">
        <w:rPr>
          <w:rFonts w:eastAsia="Arial Unicode MS"/>
        </w:rPr>
        <w:t>2</w:t>
      </w:r>
      <w:r w:rsidRPr="000A53C6">
        <w:rPr>
          <w:rFonts w:eastAsia="Arial Unicode MS"/>
        </w:rPr>
        <w:t xml:space="preserve">, the number of pursuits the Department was involved in </w:t>
      </w:r>
      <w:r w:rsidR="004E1CEC">
        <w:rPr>
          <w:rFonts w:eastAsia="Arial Unicode MS"/>
        </w:rPr>
        <w:t xml:space="preserve">rose </w:t>
      </w:r>
      <w:r w:rsidR="004E1CEC" w:rsidRPr="000A53C6">
        <w:rPr>
          <w:rFonts w:eastAsia="Arial Unicode MS"/>
        </w:rPr>
        <w:t xml:space="preserve">from the prior two years – </w:t>
      </w:r>
      <w:r w:rsidR="004E1CEC">
        <w:rPr>
          <w:rFonts w:eastAsia="Arial Unicode MS"/>
        </w:rPr>
        <w:t>from 9</w:t>
      </w:r>
      <w:r w:rsidR="004E1CEC" w:rsidRPr="000A53C6">
        <w:rPr>
          <w:rFonts w:eastAsia="Arial Unicode MS"/>
        </w:rPr>
        <w:t xml:space="preserve"> in 20</w:t>
      </w:r>
      <w:r w:rsidR="004E1CEC">
        <w:rPr>
          <w:rFonts w:eastAsia="Arial Unicode MS"/>
        </w:rPr>
        <w:t>20</w:t>
      </w:r>
      <w:r w:rsidR="004E1CEC" w:rsidRPr="000A53C6">
        <w:rPr>
          <w:rFonts w:eastAsia="Arial Unicode MS"/>
        </w:rPr>
        <w:t xml:space="preserve">, </w:t>
      </w:r>
      <w:r w:rsidR="004E1CEC">
        <w:rPr>
          <w:rFonts w:eastAsia="Arial Unicode MS"/>
        </w:rPr>
        <w:t>1</w:t>
      </w:r>
      <w:r w:rsidR="004E1CEC" w:rsidRPr="000A53C6">
        <w:rPr>
          <w:rFonts w:eastAsia="Arial Unicode MS"/>
        </w:rPr>
        <w:t xml:space="preserve"> in 202</w:t>
      </w:r>
      <w:r w:rsidR="004E1CEC">
        <w:rPr>
          <w:rFonts w:eastAsia="Arial Unicode MS"/>
        </w:rPr>
        <w:t>1</w:t>
      </w:r>
      <w:r w:rsidR="004E1CEC" w:rsidRPr="000A53C6">
        <w:rPr>
          <w:rFonts w:eastAsia="Arial Unicode MS"/>
        </w:rPr>
        <w:t xml:space="preserve">, </w:t>
      </w:r>
      <w:r w:rsidR="004E1CEC" w:rsidRPr="00097E9D">
        <w:rPr>
          <w:rFonts w:eastAsia="Arial Unicode MS"/>
        </w:rPr>
        <w:t xml:space="preserve">to 20 </w:t>
      </w:r>
      <w:r w:rsidR="004E1CEC" w:rsidRPr="000A53C6">
        <w:rPr>
          <w:rFonts w:eastAsia="Arial Unicode MS"/>
        </w:rPr>
        <w:t>in 202</w:t>
      </w:r>
      <w:r w:rsidR="004E1CEC">
        <w:rPr>
          <w:rFonts w:eastAsia="Arial Unicode MS"/>
        </w:rPr>
        <w:t>2</w:t>
      </w:r>
      <w:r w:rsidR="004E1CEC" w:rsidRPr="000A53C6">
        <w:rPr>
          <w:rFonts w:eastAsia="Arial Unicode MS"/>
        </w:rPr>
        <w:t xml:space="preserve">. </w:t>
      </w:r>
    </w:p>
    <w:p w14:paraId="69E96F5F" w14:textId="5BAFA7AF" w:rsidR="00F06E02" w:rsidRPr="003B4081" w:rsidRDefault="00836F71" w:rsidP="0084567C">
      <w:pPr>
        <w:autoSpaceDE w:val="0"/>
        <w:autoSpaceDN w:val="0"/>
        <w:spacing w:before="0" w:after="120"/>
        <w:jc w:val="both"/>
        <w:rPr>
          <w:rFonts w:eastAsia="Arial Unicode MS"/>
        </w:rPr>
      </w:pPr>
      <w:r w:rsidRPr="003B4081">
        <w:rPr>
          <w:rFonts w:eastAsia="Arial Unicode MS"/>
        </w:rPr>
        <w:t xml:space="preserve">Two of the pursuits in 2020 were terminated </w:t>
      </w:r>
      <w:r w:rsidR="003B4081" w:rsidRPr="003B4081">
        <w:rPr>
          <w:rFonts w:eastAsia="Arial Unicode MS"/>
        </w:rPr>
        <w:t xml:space="preserve">by officers </w:t>
      </w:r>
      <w:r w:rsidRPr="003B4081">
        <w:rPr>
          <w:rFonts w:eastAsia="Arial Unicode MS"/>
        </w:rPr>
        <w:t xml:space="preserve">compared to </w:t>
      </w:r>
      <w:r w:rsidR="004E1CEC">
        <w:rPr>
          <w:rFonts w:eastAsia="Arial Unicode MS"/>
        </w:rPr>
        <w:t>four in 2022</w:t>
      </w:r>
      <w:r w:rsidR="000D647F" w:rsidRPr="003B4081">
        <w:rPr>
          <w:rFonts w:eastAsia="Arial Unicode MS"/>
        </w:rPr>
        <w:t>.</w:t>
      </w:r>
      <w:r w:rsidR="00672D2D" w:rsidRPr="003B4081">
        <w:rPr>
          <w:rFonts w:eastAsia="Arial Unicode MS"/>
        </w:rPr>
        <w:t xml:space="preserve"> The </w:t>
      </w:r>
      <w:r w:rsidR="004E1CEC">
        <w:rPr>
          <w:rFonts w:eastAsia="Arial Unicode MS"/>
        </w:rPr>
        <w:t xml:space="preserve">only </w:t>
      </w:r>
      <w:r w:rsidR="00672D2D" w:rsidRPr="003B4081">
        <w:rPr>
          <w:rFonts w:eastAsia="Arial Unicode MS"/>
        </w:rPr>
        <w:t>pursuit in 2021 concluded by the suspect st</w:t>
      </w:r>
      <w:r w:rsidR="00EF5A9B" w:rsidRPr="003B4081">
        <w:rPr>
          <w:rFonts w:eastAsia="Arial Unicode MS"/>
        </w:rPr>
        <w:t>opping on their own.</w:t>
      </w:r>
    </w:p>
    <w:p w14:paraId="00254A44" w14:textId="0B485268" w:rsidR="00836F71" w:rsidRPr="003B4081" w:rsidRDefault="004E1CEC" w:rsidP="0084567C">
      <w:pPr>
        <w:autoSpaceDE w:val="0"/>
        <w:autoSpaceDN w:val="0"/>
        <w:spacing w:before="0" w:after="120"/>
        <w:jc w:val="both"/>
        <w:rPr>
          <w:rFonts w:eastAsia="Arial Unicode MS"/>
          <w:bCs/>
        </w:rPr>
      </w:pPr>
      <w:r>
        <w:rPr>
          <w:rFonts w:eastAsia="Arial Unicode MS"/>
          <w:bCs/>
        </w:rPr>
        <w:t>Pursuits in 2022 occurred during every shift, with the most (seven) occurring during the Day/Swing Shift overlap hours.</w:t>
      </w:r>
    </w:p>
    <w:p w14:paraId="10980B3A" w14:textId="589F69BD" w:rsidR="00C205FF" w:rsidRPr="003A4D58" w:rsidRDefault="00C205FF" w:rsidP="0084567C">
      <w:pPr>
        <w:pStyle w:val="ListParagraph"/>
        <w:numPr>
          <w:ilvl w:val="0"/>
          <w:numId w:val="11"/>
        </w:numPr>
        <w:autoSpaceDE w:val="0"/>
        <w:autoSpaceDN w:val="0"/>
        <w:spacing w:before="120" w:after="0"/>
        <w:jc w:val="both"/>
        <w:rPr>
          <w:rFonts w:ascii="Times New Roman" w:eastAsia="Arial Unicode MS" w:hAnsi="Times New Roman"/>
          <w:bCs/>
          <w:sz w:val="24"/>
          <w:szCs w:val="24"/>
        </w:rPr>
      </w:pPr>
      <w:r w:rsidRPr="003A4D58">
        <w:rPr>
          <w:rFonts w:ascii="Times New Roman" w:eastAsia="Arial Unicode MS" w:hAnsi="Times New Roman"/>
          <w:bCs/>
          <w:sz w:val="24"/>
          <w:szCs w:val="24"/>
        </w:rPr>
        <w:t>Day Shift</w:t>
      </w:r>
      <w:r w:rsidR="003A4D58">
        <w:rPr>
          <w:rFonts w:ascii="Times New Roman" w:eastAsia="Arial Unicode MS" w:hAnsi="Times New Roman"/>
          <w:bCs/>
          <w:sz w:val="24"/>
          <w:szCs w:val="24"/>
        </w:rPr>
        <w:t xml:space="preserve">: </w:t>
      </w:r>
      <w:r w:rsidRPr="003A4D58">
        <w:rPr>
          <w:rFonts w:ascii="Times New Roman" w:eastAsia="Arial Unicode MS" w:hAnsi="Times New Roman"/>
          <w:bCs/>
          <w:sz w:val="24"/>
          <w:szCs w:val="24"/>
        </w:rPr>
        <w:t>0600-1600 hours</w:t>
      </w:r>
    </w:p>
    <w:p w14:paraId="0AAA2274" w14:textId="596F45C7" w:rsidR="00C205FF" w:rsidRPr="003A4D58" w:rsidRDefault="00C205FF" w:rsidP="003A4D58">
      <w:pPr>
        <w:pStyle w:val="ListParagraph"/>
        <w:numPr>
          <w:ilvl w:val="0"/>
          <w:numId w:val="11"/>
        </w:numPr>
        <w:autoSpaceDE w:val="0"/>
        <w:autoSpaceDN w:val="0"/>
        <w:spacing w:after="0"/>
        <w:jc w:val="both"/>
        <w:rPr>
          <w:rFonts w:ascii="Times New Roman" w:eastAsia="Arial Unicode MS" w:hAnsi="Times New Roman"/>
          <w:bCs/>
          <w:sz w:val="24"/>
          <w:szCs w:val="24"/>
        </w:rPr>
      </w:pPr>
      <w:r w:rsidRPr="003A4D58">
        <w:rPr>
          <w:rFonts w:ascii="Times New Roman" w:eastAsia="Arial Unicode MS" w:hAnsi="Times New Roman"/>
          <w:bCs/>
          <w:sz w:val="24"/>
          <w:szCs w:val="24"/>
        </w:rPr>
        <w:t>Swing Shift</w:t>
      </w:r>
      <w:r w:rsidR="003A4D58">
        <w:rPr>
          <w:rFonts w:ascii="Times New Roman" w:eastAsia="Arial Unicode MS" w:hAnsi="Times New Roman"/>
          <w:bCs/>
          <w:sz w:val="24"/>
          <w:szCs w:val="24"/>
        </w:rPr>
        <w:t xml:space="preserve">: </w:t>
      </w:r>
      <w:r w:rsidRPr="003A4D58">
        <w:rPr>
          <w:rFonts w:ascii="Times New Roman" w:eastAsia="Arial Unicode MS" w:hAnsi="Times New Roman"/>
          <w:bCs/>
          <w:sz w:val="24"/>
          <w:szCs w:val="24"/>
        </w:rPr>
        <w:t>1300-2300 hours</w:t>
      </w:r>
    </w:p>
    <w:p w14:paraId="62A8B9E3" w14:textId="19B83E8B" w:rsidR="0084567C" w:rsidRPr="0084567C" w:rsidRDefault="00C205FF" w:rsidP="0084567C">
      <w:pPr>
        <w:pStyle w:val="ListParagraph"/>
        <w:numPr>
          <w:ilvl w:val="0"/>
          <w:numId w:val="11"/>
        </w:numPr>
        <w:autoSpaceDE w:val="0"/>
        <w:autoSpaceDN w:val="0"/>
        <w:spacing w:after="0"/>
        <w:jc w:val="both"/>
        <w:rPr>
          <w:rFonts w:ascii="Times New Roman" w:eastAsia="Arial Unicode MS" w:hAnsi="Times New Roman"/>
          <w:bCs/>
          <w:sz w:val="24"/>
          <w:szCs w:val="24"/>
        </w:rPr>
      </w:pPr>
      <w:r w:rsidRPr="003A4D58">
        <w:rPr>
          <w:rFonts w:ascii="Times New Roman" w:eastAsia="Arial Unicode MS" w:hAnsi="Times New Roman"/>
          <w:bCs/>
          <w:sz w:val="24"/>
          <w:szCs w:val="24"/>
        </w:rPr>
        <w:t>Graveyard Shift</w:t>
      </w:r>
      <w:r w:rsidR="003A4D58">
        <w:rPr>
          <w:rFonts w:ascii="Times New Roman" w:eastAsia="Arial Unicode MS" w:hAnsi="Times New Roman"/>
          <w:bCs/>
          <w:sz w:val="24"/>
          <w:szCs w:val="24"/>
        </w:rPr>
        <w:t>: 2</w:t>
      </w:r>
      <w:r w:rsidRPr="003A4D58">
        <w:rPr>
          <w:rFonts w:ascii="Times New Roman" w:eastAsia="Arial Unicode MS" w:hAnsi="Times New Roman"/>
          <w:bCs/>
          <w:sz w:val="24"/>
          <w:szCs w:val="24"/>
        </w:rPr>
        <w:t xml:space="preserve">000-0600 hours </w:t>
      </w:r>
    </w:p>
    <w:p w14:paraId="0D0B9F2E" w14:textId="4C441218" w:rsidR="00F06E02" w:rsidRDefault="00F06E02" w:rsidP="00C205FF">
      <w:pPr>
        <w:autoSpaceDE w:val="0"/>
        <w:autoSpaceDN w:val="0"/>
        <w:ind w:left="2520" w:hanging="2160"/>
        <w:rPr>
          <w:rFonts w:eastAsia="Arial Unicode MS"/>
          <w:bCs/>
          <w:color w:val="FF0000"/>
        </w:rPr>
      </w:pPr>
    </w:p>
    <w:p w14:paraId="6A76F404" w14:textId="77777777" w:rsidR="0084567C" w:rsidRPr="00A87783" w:rsidRDefault="0084567C" w:rsidP="00C205FF">
      <w:pPr>
        <w:autoSpaceDE w:val="0"/>
        <w:autoSpaceDN w:val="0"/>
        <w:ind w:left="2520" w:hanging="2160"/>
        <w:rPr>
          <w:rFonts w:eastAsia="Arial Unicode MS"/>
          <w:bCs/>
          <w:color w:val="FF0000"/>
        </w:rPr>
      </w:pPr>
    </w:p>
    <w:tbl>
      <w:tblPr>
        <w:tblW w:w="6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0"/>
        <w:gridCol w:w="964"/>
        <w:gridCol w:w="964"/>
        <w:gridCol w:w="964"/>
      </w:tblGrid>
      <w:tr w:rsidR="004E1CEC" w:rsidRPr="003B4081" w14:paraId="76F8A9A3" w14:textId="63D43105" w:rsidTr="004E1CEC">
        <w:trPr>
          <w:jc w:val="center"/>
        </w:trPr>
        <w:tc>
          <w:tcPr>
            <w:tcW w:w="3400" w:type="dxa"/>
            <w:shd w:val="clear" w:color="auto" w:fill="D9D9D9" w:themeFill="background1" w:themeFillShade="D9"/>
          </w:tcPr>
          <w:p w14:paraId="11E6635B" w14:textId="77777777" w:rsidR="004E1CEC" w:rsidRPr="003B4081" w:rsidRDefault="004E1CEC" w:rsidP="00F06E02">
            <w:pPr>
              <w:spacing w:before="0" w:after="0"/>
              <w:rPr>
                <w:b/>
              </w:rPr>
            </w:pPr>
            <w:r w:rsidRPr="003B4081">
              <w:rPr>
                <w:b/>
              </w:rPr>
              <w:lastRenderedPageBreak/>
              <w:t>Shift</w:t>
            </w:r>
          </w:p>
        </w:tc>
        <w:tc>
          <w:tcPr>
            <w:tcW w:w="964" w:type="dxa"/>
            <w:shd w:val="clear" w:color="auto" w:fill="D9D9D9" w:themeFill="background1" w:themeFillShade="D9"/>
          </w:tcPr>
          <w:p w14:paraId="6647EC4F" w14:textId="4EC32D8D" w:rsidR="004E1CEC" w:rsidRPr="003B4081" w:rsidRDefault="004E1CEC" w:rsidP="00F06E02">
            <w:pPr>
              <w:spacing w:before="0" w:after="0"/>
              <w:jc w:val="center"/>
              <w:rPr>
                <w:b/>
              </w:rPr>
            </w:pPr>
            <w:r w:rsidRPr="003B4081">
              <w:rPr>
                <w:b/>
              </w:rPr>
              <w:t>2020</w:t>
            </w:r>
          </w:p>
        </w:tc>
        <w:tc>
          <w:tcPr>
            <w:tcW w:w="964" w:type="dxa"/>
            <w:shd w:val="clear" w:color="auto" w:fill="D9D9D9" w:themeFill="background1" w:themeFillShade="D9"/>
          </w:tcPr>
          <w:p w14:paraId="04FE3708" w14:textId="32B911A5" w:rsidR="004E1CEC" w:rsidRPr="003B4081" w:rsidRDefault="004E1CEC" w:rsidP="00F06E02">
            <w:pPr>
              <w:spacing w:before="0" w:after="0"/>
              <w:jc w:val="center"/>
              <w:rPr>
                <w:b/>
              </w:rPr>
            </w:pPr>
            <w:r w:rsidRPr="003B4081">
              <w:rPr>
                <w:b/>
              </w:rPr>
              <w:t>2021</w:t>
            </w:r>
          </w:p>
        </w:tc>
        <w:tc>
          <w:tcPr>
            <w:tcW w:w="964" w:type="dxa"/>
            <w:shd w:val="clear" w:color="auto" w:fill="D9D9D9" w:themeFill="background1" w:themeFillShade="D9"/>
          </w:tcPr>
          <w:p w14:paraId="5E697869" w14:textId="27969454" w:rsidR="004E1CEC" w:rsidRPr="003B4081" w:rsidRDefault="004E1CEC" w:rsidP="00F06E02">
            <w:pPr>
              <w:spacing w:before="0" w:after="0"/>
              <w:jc w:val="center"/>
              <w:rPr>
                <w:b/>
              </w:rPr>
            </w:pPr>
            <w:r>
              <w:rPr>
                <w:b/>
              </w:rPr>
              <w:t>2022</w:t>
            </w:r>
          </w:p>
        </w:tc>
      </w:tr>
      <w:tr w:rsidR="004E1CEC" w:rsidRPr="003B4081" w14:paraId="25A618F7" w14:textId="0F3D4E0E" w:rsidTr="004E1CEC">
        <w:trPr>
          <w:jc w:val="center"/>
        </w:trPr>
        <w:tc>
          <w:tcPr>
            <w:tcW w:w="3400" w:type="dxa"/>
          </w:tcPr>
          <w:p w14:paraId="3C90C41B" w14:textId="77777777" w:rsidR="004E1CEC" w:rsidRPr="003B4081" w:rsidRDefault="004E1CEC" w:rsidP="00F06E02">
            <w:pPr>
              <w:spacing w:before="0" w:after="0"/>
            </w:pPr>
            <w:r w:rsidRPr="003B4081">
              <w:t>Day Shift</w:t>
            </w:r>
          </w:p>
        </w:tc>
        <w:tc>
          <w:tcPr>
            <w:tcW w:w="964" w:type="dxa"/>
          </w:tcPr>
          <w:p w14:paraId="1B3261AF" w14:textId="51CE599A" w:rsidR="004E1CEC" w:rsidRPr="003B4081" w:rsidRDefault="004E1CEC" w:rsidP="00F06E02">
            <w:pPr>
              <w:spacing w:before="0" w:after="0"/>
              <w:jc w:val="center"/>
            </w:pPr>
            <w:r w:rsidRPr="003B4081">
              <w:t>1</w:t>
            </w:r>
          </w:p>
        </w:tc>
        <w:tc>
          <w:tcPr>
            <w:tcW w:w="964" w:type="dxa"/>
          </w:tcPr>
          <w:p w14:paraId="20CB51EF" w14:textId="12D067FD" w:rsidR="004E1CEC" w:rsidRPr="003B4081" w:rsidRDefault="0024329E" w:rsidP="00F06E02">
            <w:pPr>
              <w:spacing w:before="0" w:after="0"/>
              <w:jc w:val="center"/>
            </w:pPr>
            <w:r>
              <w:t>-</w:t>
            </w:r>
          </w:p>
        </w:tc>
        <w:tc>
          <w:tcPr>
            <w:tcW w:w="964" w:type="dxa"/>
          </w:tcPr>
          <w:p w14:paraId="3DE836DE" w14:textId="56C516E8" w:rsidR="004E1CEC" w:rsidRPr="003B4081" w:rsidRDefault="004E1CEC" w:rsidP="00F06E02">
            <w:pPr>
              <w:spacing w:before="0" w:after="0"/>
              <w:jc w:val="center"/>
            </w:pPr>
            <w:r>
              <w:t>2</w:t>
            </w:r>
          </w:p>
        </w:tc>
      </w:tr>
      <w:tr w:rsidR="004E1CEC" w:rsidRPr="003B4081" w14:paraId="5D3A6A53" w14:textId="108DBCF1" w:rsidTr="004E1CEC">
        <w:trPr>
          <w:jc w:val="center"/>
        </w:trPr>
        <w:tc>
          <w:tcPr>
            <w:tcW w:w="3400" w:type="dxa"/>
          </w:tcPr>
          <w:p w14:paraId="5EF402B6" w14:textId="307E9B2B" w:rsidR="004E1CEC" w:rsidRPr="003B4081" w:rsidRDefault="004E1CEC" w:rsidP="00F06E02">
            <w:pPr>
              <w:spacing w:before="0" w:after="0"/>
            </w:pPr>
            <w:r w:rsidRPr="003B4081">
              <w:t>Day/Swing Shift Overlap</w:t>
            </w:r>
          </w:p>
        </w:tc>
        <w:tc>
          <w:tcPr>
            <w:tcW w:w="964" w:type="dxa"/>
          </w:tcPr>
          <w:p w14:paraId="00913211" w14:textId="4B1F5CF7" w:rsidR="004E1CEC" w:rsidRPr="003B4081" w:rsidRDefault="004E1CEC" w:rsidP="00F06E02">
            <w:pPr>
              <w:spacing w:before="0" w:after="0"/>
              <w:jc w:val="center"/>
            </w:pPr>
            <w:r w:rsidRPr="003B4081">
              <w:t>1</w:t>
            </w:r>
          </w:p>
        </w:tc>
        <w:tc>
          <w:tcPr>
            <w:tcW w:w="964" w:type="dxa"/>
          </w:tcPr>
          <w:p w14:paraId="7A9193B1" w14:textId="6032218F" w:rsidR="004E1CEC" w:rsidRPr="003B4081" w:rsidRDefault="0024329E" w:rsidP="00F06E02">
            <w:pPr>
              <w:spacing w:before="0" w:after="0"/>
              <w:jc w:val="center"/>
            </w:pPr>
            <w:r>
              <w:t>-</w:t>
            </w:r>
          </w:p>
        </w:tc>
        <w:tc>
          <w:tcPr>
            <w:tcW w:w="964" w:type="dxa"/>
          </w:tcPr>
          <w:p w14:paraId="2896184F" w14:textId="620CAB8E" w:rsidR="004E1CEC" w:rsidRPr="003B4081" w:rsidRDefault="004E1CEC" w:rsidP="00F06E02">
            <w:pPr>
              <w:spacing w:before="0" w:after="0"/>
              <w:jc w:val="center"/>
            </w:pPr>
            <w:r>
              <w:t>7</w:t>
            </w:r>
          </w:p>
        </w:tc>
      </w:tr>
      <w:tr w:rsidR="004E1CEC" w:rsidRPr="003B4081" w14:paraId="5A9150D1" w14:textId="212F4F5D" w:rsidTr="004E1CEC">
        <w:trPr>
          <w:jc w:val="center"/>
        </w:trPr>
        <w:tc>
          <w:tcPr>
            <w:tcW w:w="3400" w:type="dxa"/>
          </w:tcPr>
          <w:p w14:paraId="70187593" w14:textId="77777777" w:rsidR="004E1CEC" w:rsidRPr="003B4081" w:rsidRDefault="004E1CEC" w:rsidP="00F06E02">
            <w:pPr>
              <w:spacing w:before="0" w:after="0"/>
            </w:pPr>
            <w:r w:rsidRPr="003B4081">
              <w:t xml:space="preserve">Swing Shift </w:t>
            </w:r>
          </w:p>
        </w:tc>
        <w:tc>
          <w:tcPr>
            <w:tcW w:w="964" w:type="dxa"/>
          </w:tcPr>
          <w:p w14:paraId="2C357341" w14:textId="4D6DE7ED" w:rsidR="004E1CEC" w:rsidRPr="003B4081" w:rsidRDefault="004E1CEC" w:rsidP="00F06E02">
            <w:pPr>
              <w:spacing w:before="0" w:after="0"/>
              <w:jc w:val="center"/>
            </w:pPr>
            <w:r w:rsidRPr="003B4081">
              <w:t>2</w:t>
            </w:r>
          </w:p>
        </w:tc>
        <w:tc>
          <w:tcPr>
            <w:tcW w:w="964" w:type="dxa"/>
          </w:tcPr>
          <w:p w14:paraId="36D1DB07" w14:textId="7E3E642E" w:rsidR="004E1CEC" w:rsidRPr="003B4081" w:rsidRDefault="0024329E" w:rsidP="00F06E02">
            <w:pPr>
              <w:spacing w:before="0" w:after="0"/>
              <w:jc w:val="center"/>
            </w:pPr>
            <w:r>
              <w:t>-</w:t>
            </w:r>
          </w:p>
        </w:tc>
        <w:tc>
          <w:tcPr>
            <w:tcW w:w="964" w:type="dxa"/>
          </w:tcPr>
          <w:p w14:paraId="2F047342" w14:textId="1B1E484C" w:rsidR="004E1CEC" w:rsidRPr="003B4081" w:rsidRDefault="004E1CEC" w:rsidP="00F06E02">
            <w:pPr>
              <w:spacing w:before="0" w:after="0"/>
              <w:jc w:val="center"/>
            </w:pPr>
            <w:r>
              <w:t>2</w:t>
            </w:r>
          </w:p>
        </w:tc>
      </w:tr>
      <w:tr w:rsidR="004E1CEC" w:rsidRPr="003B4081" w14:paraId="6E81EAE1" w14:textId="58C687F6" w:rsidTr="004E1CEC">
        <w:trPr>
          <w:jc w:val="center"/>
        </w:trPr>
        <w:tc>
          <w:tcPr>
            <w:tcW w:w="3400" w:type="dxa"/>
            <w:tcBorders>
              <w:bottom w:val="single" w:sz="4" w:space="0" w:color="auto"/>
            </w:tcBorders>
          </w:tcPr>
          <w:p w14:paraId="1C32DD38" w14:textId="3ECC1B97" w:rsidR="004E1CEC" w:rsidRPr="003B4081" w:rsidRDefault="004E1CEC" w:rsidP="00F06E02">
            <w:pPr>
              <w:spacing w:before="0" w:after="0"/>
            </w:pPr>
            <w:r w:rsidRPr="003B4081">
              <w:t>Swing/Graveyard Shift overlap</w:t>
            </w:r>
          </w:p>
        </w:tc>
        <w:tc>
          <w:tcPr>
            <w:tcW w:w="964" w:type="dxa"/>
            <w:tcBorders>
              <w:bottom w:val="single" w:sz="4" w:space="0" w:color="auto"/>
            </w:tcBorders>
          </w:tcPr>
          <w:p w14:paraId="4625539B" w14:textId="36A44E61" w:rsidR="004E1CEC" w:rsidRPr="003B4081" w:rsidRDefault="004E1CEC" w:rsidP="00F06E02">
            <w:pPr>
              <w:spacing w:before="0" w:after="0"/>
              <w:jc w:val="center"/>
            </w:pPr>
            <w:r w:rsidRPr="003B4081">
              <w:t>1</w:t>
            </w:r>
          </w:p>
        </w:tc>
        <w:tc>
          <w:tcPr>
            <w:tcW w:w="964" w:type="dxa"/>
            <w:tcBorders>
              <w:bottom w:val="single" w:sz="4" w:space="0" w:color="auto"/>
            </w:tcBorders>
          </w:tcPr>
          <w:p w14:paraId="5D6CA606" w14:textId="3A9634DE" w:rsidR="004E1CEC" w:rsidRPr="003B4081" w:rsidRDefault="0024329E" w:rsidP="00F06E02">
            <w:pPr>
              <w:spacing w:before="0" w:after="0"/>
              <w:jc w:val="center"/>
            </w:pPr>
            <w:r>
              <w:t>-</w:t>
            </w:r>
          </w:p>
        </w:tc>
        <w:tc>
          <w:tcPr>
            <w:tcW w:w="964" w:type="dxa"/>
            <w:tcBorders>
              <w:bottom w:val="single" w:sz="4" w:space="0" w:color="auto"/>
            </w:tcBorders>
          </w:tcPr>
          <w:p w14:paraId="535AD22A" w14:textId="73C839B0" w:rsidR="004E1CEC" w:rsidRPr="003B4081" w:rsidRDefault="004E1CEC" w:rsidP="00F06E02">
            <w:pPr>
              <w:spacing w:before="0" w:after="0"/>
              <w:jc w:val="center"/>
            </w:pPr>
            <w:r>
              <w:t>6</w:t>
            </w:r>
          </w:p>
        </w:tc>
      </w:tr>
      <w:tr w:rsidR="004E1CEC" w:rsidRPr="003B4081" w14:paraId="3FB76F6A" w14:textId="5E3D8161" w:rsidTr="004E1CEC">
        <w:trPr>
          <w:jc w:val="center"/>
        </w:trPr>
        <w:tc>
          <w:tcPr>
            <w:tcW w:w="3400" w:type="dxa"/>
            <w:tcBorders>
              <w:bottom w:val="single" w:sz="4" w:space="0" w:color="auto"/>
            </w:tcBorders>
          </w:tcPr>
          <w:p w14:paraId="404CBF02" w14:textId="4248848A" w:rsidR="004E1CEC" w:rsidRPr="003B4081" w:rsidRDefault="004E1CEC" w:rsidP="00F06E02">
            <w:pPr>
              <w:spacing w:before="0" w:after="0"/>
            </w:pPr>
            <w:r w:rsidRPr="003B4081">
              <w:t>Graveyard Shift</w:t>
            </w:r>
          </w:p>
        </w:tc>
        <w:tc>
          <w:tcPr>
            <w:tcW w:w="964" w:type="dxa"/>
            <w:tcBorders>
              <w:bottom w:val="single" w:sz="4" w:space="0" w:color="auto"/>
            </w:tcBorders>
          </w:tcPr>
          <w:p w14:paraId="797CB1A1" w14:textId="6C965AD9" w:rsidR="004E1CEC" w:rsidRPr="003B4081" w:rsidRDefault="004E1CEC" w:rsidP="00F06E02">
            <w:pPr>
              <w:spacing w:before="0" w:after="0"/>
              <w:jc w:val="center"/>
            </w:pPr>
            <w:r w:rsidRPr="003B4081">
              <w:t>4</w:t>
            </w:r>
          </w:p>
        </w:tc>
        <w:tc>
          <w:tcPr>
            <w:tcW w:w="964" w:type="dxa"/>
            <w:tcBorders>
              <w:bottom w:val="single" w:sz="4" w:space="0" w:color="auto"/>
            </w:tcBorders>
          </w:tcPr>
          <w:p w14:paraId="650100A2" w14:textId="5B9D08B7" w:rsidR="004E1CEC" w:rsidRPr="003B4081" w:rsidRDefault="004E1CEC" w:rsidP="00F06E02">
            <w:pPr>
              <w:spacing w:before="0" w:after="0"/>
              <w:jc w:val="center"/>
            </w:pPr>
            <w:r w:rsidRPr="003B4081">
              <w:t>1</w:t>
            </w:r>
          </w:p>
        </w:tc>
        <w:tc>
          <w:tcPr>
            <w:tcW w:w="964" w:type="dxa"/>
            <w:tcBorders>
              <w:bottom w:val="single" w:sz="4" w:space="0" w:color="auto"/>
            </w:tcBorders>
          </w:tcPr>
          <w:p w14:paraId="78994432" w14:textId="635A09F9" w:rsidR="004E1CEC" w:rsidRPr="003B4081" w:rsidRDefault="004E1CEC" w:rsidP="00F06E02">
            <w:pPr>
              <w:spacing w:before="0" w:after="0"/>
              <w:jc w:val="center"/>
            </w:pPr>
            <w:r>
              <w:t>3</w:t>
            </w:r>
          </w:p>
        </w:tc>
      </w:tr>
      <w:tr w:rsidR="004E1CEC" w:rsidRPr="003B4081" w14:paraId="075C1DFE" w14:textId="2ADA29D3" w:rsidTr="004E1CEC">
        <w:trPr>
          <w:jc w:val="center"/>
        </w:trPr>
        <w:tc>
          <w:tcPr>
            <w:tcW w:w="3400" w:type="dxa"/>
            <w:shd w:val="clear" w:color="auto" w:fill="D9D9D9"/>
          </w:tcPr>
          <w:p w14:paraId="091CB154" w14:textId="77777777" w:rsidR="004E1CEC" w:rsidRPr="003B4081" w:rsidRDefault="004E1CEC" w:rsidP="00F06E02">
            <w:pPr>
              <w:spacing w:before="0" w:after="0"/>
              <w:rPr>
                <w:b/>
              </w:rPr>
            </w:pPr>
            <w:r w:rsidRPr="003B4081">
              <w:rPr>
                <w:b/>
              </w:rPr>
              <w:t xml:space="preserve">       Total</w:t>
            </w:r>
          </w:p>
        </w:tc>
        <w:tc>
          <w:tcPr>
            <w:tcW w:w="964" w:type="dxa"/>
            <w:shd w:val="clear" w:color="auto" w:fill="D9D9D9"/>
          </w:tcPr>
          <w:p w14:paraId="5FC3BD99" w14:textId="0824A57A" w:rsidR="004E1CEC" w:rsidRPr="003B4081" w:rsidRDefault="004E1CEC" w:rsidP="00F06E02">
            <w:pPr>
              <w:spacing w:before="0" w:after="0"/>
              <w:jc w:val="center"/>
              <w:rPr>
                <w:b/>
              </w:rPr>
            </w:pPr>
            <w:r w:rsidRPr="003B4081">
              <w:rPr>
                <w:b/>
              </w:rPr>
              <w:t>9</w:t>
            </w:r>
          </w:p>
        </w:tc>
        <w:tc>
          <w:tcPr>
            <w:tcW w:w="964" w:type="dxa"/>
            <w:shd w:val="clear" w:color="auto" w:fill="D9D9D9"/>
          </w:tcPr>
          <w:p w14:paraId="06DF0473" w14:textId="2B65B155" w:rsidR="004E1CEC" w:rsidRPr="003B4081" w:rsidRDefault="004E1CEC" w:rsidP="00F06E02">
            <w:pPr>
              <w:spacing w:before="0" w:after="0"/>
              <w:jc w:val="center"/>
              <w:rPr>
                <w:b/>
              </w:rPr>
            </w:pPr>
            <w:r w:rsidRPr="003B4081">
              <w:rPr>
                <w:b/>
              </w:rPr>
              <w:t>1</w:t>
            </w:r>
          </w:p>
        </w:tc>
        <w:tc>
          <w:tcPr>
            <w:tcW w:w="964" w:type="dxa"/>
            <w:shd w:val="clear" w:color="auto" w:fill="D9D9D9"/>
          </w:tcPr>
          <w:p w14:paraId="0E8360A4" w14:textId="2410D82D" w:rsidR="004E1CEC" w:rsidRPr="003B4081" w:rsidRDefault="004E1CEC" w:rsidP="00F06E02">
            <w:pPr>
              <w:spacing w:before="0" w:after="0"/>
              <w:jc w:val="center"/>
              <w:rPr>
                <w:b/>
              </w:rPr>
            </w:pPr>
            <w:r>
              <w:rPr>
                <w:b/>
              </w:rPr>
              <w:t>20</w:t>
            </w:r>
          </w:p>
        </w:tc>
      </w:tr>
    </w:tbl>
    <w:p w14:paraId="3CDC5384" w14:textId="0ADFD9C7" w:rsidR="004E1CEC" w:rsidRDefault="004E1CEC" w:rsidP="004E1CEC">
      <w:pPr>
        <w:spacing w:before="240" w:after="120"/>
        <w:jc w:val="both"/>
      </w:pPr>
      <w:r>
        <w:t xml:space="preserve">No pursuits took place on a Wednesday. A pursuit took place on every other day of the week, with the most (six) occurring on Tuesdays. </w:t>
      </w:r>
    </w:p>
    <w:p w14:paraId="48B26422" w14:textId="51DA6CDB" w:rsidR="004E1CEC" w:rsidRPr="00D127F6" w:rsidRDefault="004E1CEC" w:rsidP="004E1CEC">
      <w:pPr>
        <w:spacing w:before="0" w:after="0"/>
        <w:jc w:val="both"/>
      </w:pPr>
      <w:r>
        <w:t>In 2022, the City of Tacoma investigated a record number of homicides along with other violent crimes. Several of these pursuits involved members of our investigation teams obtaining probable cause for the arrest and locating</w:t>
      </w:r>
      <w:r w:rsidR="003546B1">
        <w:t xml:space="preserve"> of</w:t>
      </w:r>
      <w:r>
        <w:t xml:space="preserve"> subjects wanted in connection to homicides. One pursuit (22PUR-003) concluded with an officer-involved shooting. In that case, the subject survived and is in custody while the criminal process proceeds. Due to it being </w:t>
      </w:r>
      <w:r w:rsidR="003546B1">
        <w:t xml:space="preserve">related to </w:t>
      </w:r>
      <w:r>
        <w:t>an officer-involved shooting, that pursuit is pending a finding.</w:t>
      </w:r>
    </w:p>
    <w:p w14:paraId="5024FEF7" w14:textId="34E96274" w:rsidR="00F06E02" w:rsidRPr="003B4081" w:rsidRDefault="00F06E02" w:rsidP="00C239F1">
      <w:pPr>
        <w:spacing w:before="120" w:after="0"/>
        <w:jc w:val="both"/>
        <w:rPr>
          <w:b/>
          <w:bCs/>
        </w:rPr>
      </w:pPr>
      <w:r w:rsidRPr="003B4081">
        <w:rPr>
          <w:b/>
          <w:bCs/>
        </w:rPr>
        <w:t xml:space="preserve">Annual Review of the Department’s Vehicle Pursuit </w:t>
      </w:r>
      <w:r w:rsidR="002C0C1A" w:rsidRPr="003B4081">
        <w:rPr>
          <w:b/>
          <w:bCs/>
        </w:rPr>
        <w:t>Policies and Reporting P</w:t>
      </w:r>
      <w:r w:rsidRPr="003B4081">
        <w:rPr>
          <w:b/>
          <w:bCs/>
        </w:rPr>
        <w:t>rocedures</w:t>
      </w:r>
    </w:p>
    <w:p w14:paraId="436D1CE9" w14:textId="2D549401" w:rsidR="004E1CEC" w:rsidRPr="0075670C" w:rsidRDefault="00F06E02" w:rsidP="004E1CEC">
      <w:pPr>
        <w:spacing w:before="0" w:after="120"/>
        <w:jc w:val="both"/>
      </w:pPr>
      <w:r w:rsidRPr="003B4081">
        <w:t xml:space="preserve">During the annual review of all </w:t>
      </w:r>
      <w:r w:rsidR="00135C2F">
        <w:t>V</w:t>
      </w:r>
      <w:r w:rsidRPr="003B4081">
        <w:t xml:space="preserve">ehicle </w:t>
      </w:r>
      <w:r w:rsidR="00135C2F">
        <w:t>P</w:t>
      </w:r>
      <w:r w:rsidRPr="003B4081">
        <w:t xml:space="preserve">ursuits, the Department’s current </w:t>
      </w:r>
      <w:r w:rsidR="003A4D58">
        <w:t>P</w:t>
      </w:r>
      <w:r w:rsidRPr="003B4081">
        <w:t xml:space="preserve">olicies and </w:t>
      </w:r>
      <w:r w:rsidR="003A4D58">
        <w:t>P</w:t>
      </w:r>
      <w:r w:rsidRPr="003B4081">
        <w:t>rocedures were reviewed</w:t>
      </w:r>
      <w:r w:rsidR="00783859">
        <w:t xml:space="preserve">. </w:t>
      </w:r>
      <w:r w:rsidR="004E1CEC" w:rsidRPr="0075670C">
        <w:t xml:space="preserve">The Department Pursuit Policy (P3.2.2) </w:t>
      </w:r>
      <w:proofErr w:type="gramStart"/>
      <w:r w:rsidR="004E1CEC" w:rsidRPr="0075670C">
        <w:t>is in compliance with</w:t>
      </w:r>
      <w:proofErr w:type="gramEnd"/>
      <w:r w:rsidR="004E1CEC" w:rsidRPr="0075670C">
        <w:t xml:space="preserve"> state law.</w:t>
      </w:r>
      <w:r w:rsidR="004E1CEC" w:rsidRPr="004C2E56">
        <w:t xml:space="preserve"> Also in 2022</w:t>
      </w:r>
      <w:r w:rsidR="004E1CEC" w:rsidRPr="0075670C">
        <w:t xml:space="preserve">, annual training needs were addressed to include </w:t>
      </w:r>
      <w:r w:rsidR="004E1CEC" w:rsidRPr="0075670C">
        <w:rPr>
          <w:rFonts w:eastAsia="Arial Unicode MS"/>
          <w:bCs/>
        </w:rPr>
        <w:t>EVOC (Emergency Vehicle Operations Course) Cadre Development training</w:t>
      </w:r>
      <w:r w:rsidR="004E1CEC" w:rsidRPr="0075670C">
        <w:t xml:space="preserve"> for EVOC instructors</w:t>
      </w:r>
      <w:r w:rsidR="004E1CEC">
        <w:t>;</w:t>
      </w:r>
      <w:r w:rsidR="004E1CEC" w:rsidRPr="0075670C">
        <w:t xml:space="preserve"> EVOC training for Non-Operations personnel</w:t>
      </w:r>
      <w:r w:rsidR="004E1CEC">
        <w:t>;</w:t>
      </w:r>
      <w:r w:rsidR="004E1CEC" w:rsidRPr="0075670C">
        <w:t xml:space="preserve"> and PIT training</w:t>
      </w:r>
      <w:r w:rsidR="004E1CEC">
        <w:t>,</w:t>
      </w:r>
      <w:r w:rsidR="004E1CEC" w:rsidRPr="0075670C">
        <w:t xml:space="preserve"> as needed (typically for newly hired officers).</w:t>
      </w:r>
    </w:p>
    <w:p w14:paraId="1C20957E" w14:textId="4C26FC0F" w:rsidR="00F06E02" w:rsidRPr="003B4081" w:rsidRDefault="00F06E02" w:rsidP="00C239F1">
      <w:pPr>
        <w:autoSpaceDE w:val="0"/>
        <w:autoSpaceDN w:val="0"/>
        <w:spacing w:before="240" w:after="0"/>
        <w:rPr>
          <w:rFonts w:eastAsia="Arial Unicode MS"/>
          <w:b/>
          <w:bCs/>
        </w:rPr>
      </w:pPr>
      <w:r w:rsidRPr="003B4081">
        <w:rPr>
          <w:rFonts w:eastAsia="Arial Unicode MS"/>
          <w:b/>
          <w:bCs/>
          <w:u w:val="single"/>
        </w:rPr>
        <w:t>RECOMMENDATIONS</w:t>
      </w:r>
    </w:p>
    <w:p w14:paraId="21A5CBF9" w14:textId="2E4EAA0E" w:rsidR="004E1CEC" w:rsidRPr="004C2E56" w:rsidRDefault="004E1CEC" w:rsidP="004E1CEC">
      <w:pPr>
        <w:jc w:val="both"/>
        <w:rPr>
          <w:rFonts w:eastAsia="Arial Unicode MS"/>
          <w:bCs/>
        </w:rPr>
      </w:pPr>
      <w:r w:rsidRPr="0075670C">
        <w:rPr>
          <w:rFonts w:eastAsia="Arial Unicode MS"/>
          <w:bCs/>
        </w:rPr>
        <w:t xml:space="preserve">In 2023, the Department will continue to provide departmental training that is required per CALEA and as needed for State legislative changes. </w:t>
      </w:r>
      <w:r w:rsidRPr="004C2E56">
        <w:rPr>
          <w:rFonts w:eastAsia="Arial Unicode MS"/>
          <w:bCs/>
        </w:rPr>
        <w:t>This will include EVOC training for the Administrative Services Bureau and the Investigations Bureau in the first half of the year</w:t>
      </w:r>
      <w:r>
        <w:rPr>
          <w:rFonts w:eastAsia="Arial Unicode MS"/>
          <w:bCs/>
        </w:rPr>
        <w:t>,</w:t>
      </w:r>
      <w:r w:rsidRPr="004C2E56">
        <w:rPr>
          <w:rFonts w:eastAsia="Arial Unicode MS"/>
          <w:bCs/>
        </w:rPr>
        <w:t xml:space="preserve"> and EVOC training for the Operations Bureau and Special Investigations in the second half of the year. </w:t>
      </w:r>
      <w:r w:rsidRPr="004C2E56">
        <w:t xml:space="preserve">The Department will continue to monitor collisions involving on-duty police employees and address the specific training needs identified with involved Department members as well as with all </w:t>
      </w:r>
      <w:proofErr w:type="gramStart"/>
      <w:r w:rsidRPr="004C2E56">
        <w:t>members, if</w:t>
      </w:r>
      <w:proofErr w:type="gramEnd"/>
      <w:r w:rsidRPr="004C2E56">
        <w:t xml:space="preserve"> trends are identified. Throughout 2023, the Department will also continue with the process of converting all </w:t>
      </w:r>
      <w:r w:rsidR="00135C2F">
        <w:t>P</w:t>
      </w:r>
      <w:r w:rsidRPr="004C2E56">
        <w:t xml:space="preserve">olicies and </w:t>
      </w:r>
      <w:r w:rsidR="00135C2F">
        <w:t>P</w:t>
      </w:r>
      <w:r w:rsidRPr="004C2E56">
        <w:t xml:space="preserve">rocedures into the Lexipol format. The conversion to Lexipol will help with the timeliness of any changes or addendums that need to be made.    </w:t>
      </w:r>
    </w:p>
    <w:p w14:paraId="7890F428" w14:textId="77777777" w:rsidR="00A87783" w:rsidRDefault="00A87783" w:rsidP="00F06E02"/>
    <w:p w14:paraId="10DB2B64" w14:textId="254D26D8" w:rsidR="005E7225" w:rsidRPr="00D6206D" w:rsidRDefault="00A87783" w:rsidP="00F06E02">
      <w:pPr>
        <w:rPr>
          <w:sz w:val="22"/>
          <w:szCs w:val="22"/>
        </w:rPr>
      </w:pPr>
      <w:proofErr w:type="spellStart"/>
      <w:proofErr w:type="gramStart"/>
      <w:r>
        <w:t>GJR</w:t>
      </w:r>
      <w:r w:rsidR="005E7225">
        <w:t>:man</w:t>
      </w:r>
      <w:proofErr w:type="spellEnd"/>
      <w:proofErr w:type="gramEnd"/>
    </w:p>
    <w:sectPr w:rsidR="005E7225" w:rsidRPr="00D6206D" w:rsidSect="003546B1">
      <w:pgSz w:w="12240" w:h="15840" w:code="1"/>
      <w:pgMar w:top="1440" w:right="1152" w:bottom="576" w:left="1152" w:header="720" w:footer="36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42852" w14:textId="77777777" w:rsidR="00477D8C" w:rsidRDefault="00477D8C">
      <w:r>
        <w:separator/>
      </w:r>
    </w:p>
  </w:endnote>
  <w:endnote w:type="continuationSeparator" w:id="0">
    <w:p w14:paraId="18C60921" w14:textId="77777777" w:rsidR="00477D8C" w:rsidRDefault="00477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F5528" w14:textId="77777777" w:rsidR="00430652" w:rsidRDefault="00430652" w:rsidP="00560DC1">
    <w:pPr>
      <w:jc w:val="center"/>
      <w:rPr>
        <w:rStyle w:val="Emphasis"/>
        <w:sz w:val="18"/>
        <w:szCs w:val="18"/>
      </w:rPr>
    </w:pPr>
    <w:r>
      <w:rPr>
        <w:rStyle w:val="Emphasis"/>
        <w:sz w:val="18"/>
        <w:szCs w:val="18"/>
      </w:rPr>
      <w:t>“</w:t>
    </w:r>
    <w:r w:rsidRPr="00CE6C39">
      <w:rPr>
        <w:rStyle w:val="Emphasis"/>
        <w:sz w:val="18"/>
        <w:szCs w:val="18"/>
      </w:rPr>
      <w:t>To create a safe and secure environment in which to live, work, and visit by working together with the community, enforcing the law in a fair and impartial manner, preserving the peace and order in our neighborhoods, and safeguarding our constitutional guarantees.</w:t>
    </w:r>
    <w:r>
      <w:rPr>
        <w:rStyle w:val="Emphasis"/>
        <w:sz w:val="18"/>
        <w:szCs w:val="18"/>
      </w:rPr>
      <w:t>”</w:t>
    </w:r>
  </w:p>
  <w:p w14:paraId="73E2BE8A" w14:textId="419573FD" w:rsidR="00430652" w:rsidRPr="00560DC1" w:rsidRDefault="00430652" w:rsidP="00135C2F">
    <w:pPr>
      <w:pBdr>
        <w:top w:val="single" w:sz="4" w:space="1" w:color="auto"/>
      </w:pBdr>
      <w:tabs>
        <w:tab w:val="left" w:pos="2340"/>
        <w:tab w:val="left" w:pos="5220"/>
        <w:tab w:val="right" w:pos="9900"/>
      </w:tabs>
      <w:spacing w:before="0" w:after="0"/>
      <w:ind w:right="-162"/>
      <w:rPr>
        <w:iCs/>
        <w:sz w:val="18"/>
        <w:szCs w:val="18"/>
      </w:rPr>
    </w:pPr>
    <w:r>
      <w:rPr>
        <w:rStyle w:val="Emphasis"/>
        <w:i w:val="0"/>
        <w:sz w:val="18"/>
        <w:szCs w:val="18"/>
      </w:rPr>
      <w:t xml:space="preserve">ASB #:  </w:t>
    </w:r>
    <w:r w:rsidR="00A87783">
      <w:rPr>
        <w:rStyle w:val="Emphasis"/>
        <w:i w:val="0"/>
        <w:sz w:val="18"/>
        <w:szCs w:val="18"/>
      </w:rPr>
      <w:t>2</w:t>
    </w:r>
    <w:r w:rsidR="00135C2F">
      <w:rPr>
        <w:rStyle w:val="Emphasis"/>
        <w:i w:val="0"/>
        <w:sz w:val="18"/>
        <w:szCs w:val="18"/>
      </w:rPr>
      <w:t>3-005</w:t>
    </w:r>
    <w:r>
      <w:rPr>
        <w:rStyle w:val="Emphasis"/>
        <w:i w:val="0"/>
        <w:sz w:val="18"/>
        <w:szCs w:val="18"/>
      </w:rPr>
      <w:tab/>
      <w:t xml:space="preserve">Date:  </w:t>
    </w:r>
    <w:r w:rsidR="00135C2F">
      <w:rPr>
        <w:rStyle w:val="Emphasis"/>
        <w:i w:val="0"/>
        <w:sz w:val="18"/>
        <w:szCs w:val="18"/>
      </w:rPr>
      <w:t>February 21, 2023</w:t>
    </w:r>
    <w:r>
      <w:rPr>
        <w:rStyle w:val="Emphasis"/>
        <w:i w:val="0"/>
        <w:sz w:val="18"/>
        <w:szCs w:val="18"/>
      </w:rPr>
      <w:tab/>
    </w:r>
    <w:r w:rsidRPr="00606682">
      <w:rPr>
        <w:rStyle w:val="Emphasis"/>
        <w:i w:val="0"/>
        <w:sz w:val="18"/>
        <w:szCs w:val="18"/>
      </w:rPr>
      <w:t>Subject:</w:t>
    </w:r>
    <w:r>
      <w:rPr>
        <w:rStyle w:val="Emphasis"/>
        <w:i w:val="0"/>
        <w:sz w:val="18"/>
        <w:szCs w:val="18"/>
      </w:rPr>
      <w:t xml:space="preserve">  </w:t>
    </w:r>
    <w:r w:rsidR="00F17030">
      <w:rPr>
        <w:rStyle w:val="Emphasis"/>
        <w:i w:val="0"/>
        <w:sz w:val="18"/>
        <w:szCs w:val="18"/>
      </w:rPr>
      <w:t>20</w:t>
    </w:r>
    <w:r w:rsidR="001702CB">
      <w:rPr>
        <w:rStyle w:val="Emphasis"/>
        <w:i w:val="0"/>
        <w:sz w:val="18"/>
        <w:szCs w:val="18"/>
      </w:rPr>
      <w:t>2</w:t>
    </w:r>
    <w:r w:rsidR="00135C2F">
      <w:rPr>
        <w:rStyle w:val="Emphasis"/>
        <w:i w:val="0"/>
        <w:sz w:val="18"/>
        <w:szCs w:val="18"/>
      </w:rPr>
      <w:t>2</w:t>
    </w:r>
    <w:r w:rsidR="001702CB">
      <w:rPr>
        <w:rStyle w:val="Emphasis"/>
        <w:i w:val="0"/>
        <w:sz w:val="18"/>
        <w:szCs w:val="18"/>
      </w:rPr>
      <w:t xml:space="preserve"> </w:t>
    </w:r>
    <w:r w:rsidR="00F17030">
      <w:rPr>
        <w:rStyle w:val="Emphasis"/>
        <w:i w:val="0"/>
        <w:sz w:val="18"/>
        <w:szCs w:val="18"/>
      </w:rPr>
      <w:t>Pursuit Analysis Report</w:t>
    </w:r>
    <w:r>
      <w:rPr>
        <w:rStyle w:val="Emphasis"/>
        <w:i w:val="0"/>
        <w:sz w:val="18"/>
        <w:szCs w:val="18"/>
      </w:rPr>
      <w:tab/>
    </w:r>
    <w:r w:rsidRPr="00606682">
      <w:rPr>
        <w:rStyle w:val="Emphasis"/>
        <w:i w:val="0"/>
        <w:sz w:val="18"/>
        <w:szCs w:val="18"/>
      </w:rPr>
      <w:t xml:space="preserve">Page </w:t>
    </w:r>
    <w:r w:rsidRPr="00606682">
      <w:rPr>
        <w:rStyle w:val="PageNumber"/>
        <w:sz w:val="18"/>
        <w:szCs w:val="18"/>
      </w:rPr>
      <w:fldChar w:fldCharType="begin"/>
    </w:r>
    <w:r w:rsidRPr="00606682">
      <w:rPr>
        <w:rStyle w:val="PageNumber"/>
        <w:sz w:val="18"/>
        <w:szCs w:val="18"/>
      </w:rPr>
      <w:instrText xml:space="preserve"> PAGE </w:instrText>
    </w:r>
    <w:r w:rsidRPr="00606682">
      <w:rPr>
        <w:rStyle w:val="PageNumber"/>
        <w:sz w:val="18"/>
        <w:szCs w:val="18"/>
      </w:rPr>
      <w:fldChar w:fldCharType="separate"/>
    </w:r>
    <w:r w:rsidR="008E1E5A">
      <w:rPr>
        <w:rStyle w:val="PageNumber"/>
        <w:noProof/>
        <w:sz w:val="18"/>
        <w:szCs w:val="18"/>
      </w:rPr>
      <w:t>1</w:t>
    </w:r>
    <w:r w:rsidRPr="00606682">
      <w:rPr>
        <w:rStyle w:val="PageNumber"/>
        <w:sz w:val="18"/>
        <w:szCs w:val="18"/>
      </w:rPr>
      <w:fldChar w:fldCharType="end"/>
    </w:r>
    <w:r w:rsidRPr="00606682">
      <w:rPr>
        <w:rStyle w:val="PageNumber"/>
        <w:sz w:val="18"/>
        <w:szCs w:val="18"/>
      </w:rPr>
      <w:t xml:space="preserve"> of </w:t>
    </w:r>
    <w:r w:rsidRPr="00606682">
      <w:rPr>
        <w:rStyle w:val="PageNumber"/>
        <w:sz w:val="18"/>
        <w:szCs w:val="18"/>
      </w:rPr>
      <w:fldChar w:fldCharType="begin"/>
    </w:r>
    <w:r w:rsidRPr="00606682">
      <w:rPr>
        <w:rStyle w:val="PageNumber"/>
        <w:sz w:val="18"/>
        <w:szCs w:val="18"/>
      </w:rPr>
      <w:instrText xml:space="preserve"> NUMPAGES </w:instrText>
    </w:r>
    <w:r w:rsidRPr="00606682">
      <w:rPr>
        <w:rStyle w:val="PageNumber"/>
        <w:sz w:val="18"/>
        <w:szCs w:val="18"/>
      </w:rPr>
      <w:fldChar w:fldCharType="separate"/>
    </w:r>
    <w:r w:rsidR="008E1E5A">
      <w:rPr>
        <w:rStyle w:val="PageNumber"/>
        <w:noProof/>
        <w:sz w:val="18"/>
        <w:szCs w:val="18"/>
      </w:rPr>
      <w:t>4</w:t>
    </w:r>
    <w:r w:rsidRPr="00606682">
      <w:rPr>
        <w:rStyle w:val="PageNumbe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549B" w14:textId="77777777" w:rsidR="00430652" w:rsidRDefault="00430652">
    <w:pPr>
      <w:jc w:val="center"/>
      <w:rPr>
        <w:rStyle w:val="Emphasis"/>
        <w:sz w:val="18"/>
        <w:szCs w:val="18"/>
      </w:rPr>
    </w:pPr>
    <w:r>
      <w:rPr>
        <w:rStyle w:val="Emphasis"/>
        <w:sz w:val="18"/>
        <w:szCs w:val="18"/>
      </w:rPr>
      <w:t>“</w:t>
    </w:r>
    <w:r w:rsidRPr="00CE6C39">
      <w:rPr>
        <w:rStyle w:val="Emphasis"/>
        <w:sz w:val="18"/>
        <w:szCs w:val="18"/>
      </w:rPr>
      <w:t>To create a safe and secure environment in which to live, work, and visit by working together with the community, enforcing the law in a fair and impartial manner, preserving the peace and order in our neighborhoods, and safeguarding our constitutional guarantees.</w:t>
    </w:r>
    <w:r>
      <w:rPr>
        <w:rStyle w:val="Emphasis"/>
        <w:sz w:val="18"/>
        <w:szCs w:val="18"/>
      </w:rPr>
      <w:t>”</w:t>
    </w:r>
  </w:p>
  <w:p w14:paraId="4AD1AEB3" w14:textId="5ED7EDE1" w:rsidR="00430652" w:rsidRPr="00606682" w:rsidRDefault="00430652" w:rsidP="005B71DB">
    <w:pPr>
      <w:pBdr>
        <w:top w:val="single" w:sz="4" w:space="1" w:color="auto"/>
      </w:pBdr>
      <w:spacing w:before="0" w:after="0"/>
      <w:ind w:right="-162"/>
      <w:rPr>
        <w:rStyle w:val="Emphasis"/>
        <w:i w:val="0"/>
        <w:sz w:val="18"/>
        <w:szCs w:val="18"/>
      </w:rPr>
    </w:pPr>
    <w:r>
      <w:rPr>
        <w:rStyle w:val="Emphasis"/>
        <w:i w:val="0"/>
        <w:sz w:val="18"/>
        <w:szCs w:val="18"/>
      </w:rPr>
      <w:t>DM 12</w:t>
    </w:r>
    <w:r w:rsidRPr="00606682">
      <w:rPr>
        <w:rStyle w:val="Emphasis"/>
        <w:i w:val="0"/>
        <w:sz w:val="18"/>
        <w:szCs w:val="18"/>
      </w:rPr>
      <w:t>-</w:t>
    </w:r>
    <w:r>
      <w:rPr>
        <w:rStyle w:val="Emphasis"/>
        <w:i w:val="0"/>
        <w:sz w:val="18"/>
        <w:szCs w:val="18"/>
      </w:rPr>
      <w:tab/>
    </w:r>
    <w:r w:rsidRPr="00606682">
      <w:rPr>
        <w:rStyle w:val="Emphasis"/>
        <w:i w:val="0"/>
        <w:sz w:val="18"/>
        <w:szCs w:val="18"/>
      </w:rPr>
      <w:t xml:space="preserve"> </w:t>
    </w:r>
    <w:r>
      <w:rPr>
        <w:rStyle w:val="Emphasis"/>
        <w:i w:val="0"/>
        <w:sz w:val="18"/>
        <w:szCs w:val="18"/>
      </w:rPr>
      <w:t>Date:</w:t>
    </w:r>
    <w:proofErr w:type="gramStart"/>
    <w:r>
      <w:rPr>
        <w:rStyle w:val="Emphasis"/>
        <w:i w:val="0"/>
        <w:sz w:val="18"/>
        <w:szCs w:val="18"/>
      </w:rPr>
      <w:t xml:space="preserve">  ,</w:t>
    </w:r>
    <w:proofErr w:type="gramEnd"/>
    <w:r>
      <w:rPr>
        <w:rStyle w:val="Emphasis"/>
        <w:i w:val="0"/>
        <w:sz w:val="18"/>
        <w:szCs w:val="18"/>
      </w:rPr>
      <w:t xml:space="preserve"> 2012</w:t>
    </w:r>
    <w:r>
      <w:rPr>
        <w:rStyle w:val="Emphasis"/>
        <w:i w:val="0"/>
        <w:sz w:val="18"/>
        <w:szCs w:val="18"/>
      </w:rPr>
      <w:tab/>
    </w:r>
    <w:r w:rsidRPr="00606682">
      <w:rPr>
        <w:rStyle w:val="Emphasis"/>
        <w:i w:val="0"/>
        <w:sz w:val="18"/>
        <w:szCs w:val="18"/>
      </w:rPr>
      <w:t>Subject:</w:t>
    </w:r>
    <w:r>
      <w:rPr>
        <w:rStyle w:val="Emphasis"/>
        <w:i w:val="0"/>
        <w:sz w:val="18"/>
        <w:szCs w:val="18"/>
      </w:rPr>
      <w:tab/>
      <w:t>X</w:t>
    </w:r>
    <w:r>
      <w:rPr>
        <w:rStyle w:val="Emphasis"/>
        <w:i w:val="0"/>
        <w:sz w:val="18"/>
        <w:szCs w:val="18"/>
      </w:rPr>
      <w:tab/>
    </w:r>
    <w:r>
      <w:rPr>
        <w:rStyle w:val="Emphasis"/>
        <w:i w:val="0"/>
        <w:sz w:val="18"/>
        <w:szCs w:val="18"/>
      </w:rPr>
      <w:tab/>
    </w:r>
    <w:r w:rsidRPr="00606682">
      <w:rPr>
        <w:rStyle w:val="Emphasis"/>
        <w:i w:val="0"/>
        <w:sz w:val="18"/>
        <w:szCs w:val="18"/>
      </w:rPr>
      <w:t xml:space="preserve">Page </w:t>
    </w:r>
    <w:r w:rsidRPr="00606682">
      <w:rPr>
        <w:rStyle w:val="PageNumber"/>
        <w:sz w:val="18"/>
        <w:szCs w:val="18"/>
      </w:rPr>
      <w:fldChar w:fldCharType="begin"/>
    </w:r>
    <w:r w:rsidRPr="00606682">
      <w:rPr>
        <w:rStyle w:val="PageNumber"/>
        <w:sz w:val="18"/>
        <w:szCs w:val="18"/>
      </w:rPr>
      <w:instrText xml:space="preserve"> PAGE </w:instrText>
    </w:r>
    <w:r w:rsidRPr="00606682">
      <w:rPr>
        <w:rStyle w:val="PageNumber"/>
        <w:sz w:val="18"/>
        <w:szCs w:val="18"/>
      </w:rPr>
      <w:fldChar w:fldCharType="separate"/>
    </w:r>
    <w:r>
      <w:rPr>
        <w:rStyle w:val="PageNumber"/>
        <w:noProof/>
        <w:sz w:val="18"/>
        <w:szCs w:val="18"/>
      </w:rPr>
      <w:t>1</w:t>
    </w:r>
    <w:r w:rsidRPr="00606682">
      <w:rPr>
        <w:rStyle w:val="PageNumber"/>
        <w:sz w:val="18"/>
        <w:szCs w:val="18"/>
      </w:rPr>
      <w:fldChar w:fldCharType="end"/>
    </w:r>
    <w:r w:rsidRPr="00606682">
      <w:rPr>
        <w:rStyle w:val="PageNumber"/>
        <w:sz w:val="18"/>
        <w:szCs w:val="18"/>
      </w:rPr>
      <w:t xml:space="preserve"> of </w:t>
    </w:r>
    <w:r w:rsidRPr="00606682">
      <w:rPr>
        <w:rStyle w:val="PageNumber"/>
        <w:sz w:val="18"/>
        <w:szCs w:val="18"/>
      </w:rPr>
      <w:fldChar w:fldCharType="begin"/>
    </w:r>
    <w:r w:rsidRPr="00606682">
      <w:rPr>
        <w:rStyle w:val="PageNumber"/>
        <w:sz w:val="18"/>
        <w:szCs w:val="18"/>
      </w:rPr>
      <w:instrText xml:space="preserve"> NUMPAGES </w:instrText>
    </w:r>
    <w:r w:rsidRPr="00606682">
      <w:rPr>
        <w:rStyle w:val="PageNumber"/>
        <w:sz w:val="18"/>
        <w:szCs w:val="18"/>
      </w:rPr>
      <w:fldChar w:fldCharType="separate"/>
    </w:r>
    <w:r w:rsidR="003B4081">
      <w:rPr>
        <w:rStyle w:val="PageNumber"/>
        <w:noProof/>
        <w:sz w:val="18"/>
        <w:szCs w:val="18"/>
      </w:rPr>
      <w:t>4</w:t>
    </w:r>
    <w:r w:rsidRPr="00606682">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3754" w14:textId="77777777" w:rsidR="00477D8C" w:rsidRDefault="00477D8C">
      <w:r>
        <w:separator/>
      </w:r>
    </w:p>
  </w:footnote>
  <w:footnote w:type="continuationSeparator" w:id="0">
    <w:p w14:paraId="2ECCD651" w14:textId="77777777" w:rsidR="00477D8C" w:rsidRDefault="00477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31FF" w14:textId="5FE0BA89" w:rsidR="00430652" w:rsidRDefault="00430652">
    <w:pPr>
      <w:pStyle w:val="Header"/>
      <w:jc w:val="center"/>
    </w:pPr>
  </w:p>
  <w:p w14:paraId="68F6D17C" w14:textId="77777777" w:rsidR="00430652" w:rsidRDefault="004306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C5FF" w14:textId="362CCE7A" w:rsidR="00430652" w:rsidRDefault="00430652">
    <w:pPr>
      <w:pStyle w:val="Header"/>
      <w:spacing w:after="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157"/>
    <w:multiLevelType w:val="hybridMultilevel"/>
    <w:tmpl w:val="3A6458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5A63AC0"/>
    <w:multiLevelType w:val="hybridMultilevel"/>
    <w:tmpl w:val="35CC49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363426D"/>
    <w:multiLevelType w:val="hybridMultilevel"/>
    <w:tmpl w:val="2D2E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5137D"/>
    <w:multiLevelType w:val="hybridMultilevel"/>
    <w:tmpl w:val="09BE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60121"/>
    <w:multiLevelType w:val="hybridMultilevel"/>
    <w:tmpl w:val="0C92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04C92"/>
    <w:multiLevelType w:val="hybridMultilevel"/>
    <w:tmpl w:val="77DE25D0"/>
    <w:lvl w:ilvl="0" w:tplc="D528174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E056B6"/>
    <w:multiLevelType w:val="hybridMultilevel"/>
    <w:tmpl w:val="72BAAA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34A4E12"/>
    <w:multiLevelType w:val="hybridMultilevel"/>
    <w:tmpl w:val="BDE20F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52F75FC"/>
    <w:multiLevelType w:val="hybridMultilevel"/>
    <w:tmpl w:val="469A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3132A"/>
    <w:multiLevelType w:val="hybridMultilevel"/>
    <w:tmpl w:val="CB14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D3FC1"/>
    <w:multiLevelType w:val="hybridMultilevel"/>
    <w:tmpl w:val="220EE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9"/>
  </w:num>
  <w:num w:numId="6">
    <w:abstractNumId w:val="3"/>
  </w:num>
  <w:num w:numId="7">
    <w:abstractNumId w:val="5"/>
  </w:num>
  <w:num w:numId="8">
    <w:abstractNumId w:val="4"/>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98F"/>
    <w:rsid w:val="00015D6A"/>
    <w:rsid w:val="00030AF2"/>
    <w:rsid w:val="00047EA4"/>
    <w:rsid w:val="00051BB7"/>
    <w:rsid w:val="00066959"/>
    <w:rsid w:val="00075BD5"/>
    <w:rsid w:val="000808C4"/>
    <w:rsid w:val="000974C2"/>
    <w:rsid w:val="000A53C6"/>
    <w:rsid w:val="000B27F6"/>
    <w:rsid w:val="000C4046"/>
    <w:rsid w:val="000D647F"/>
    <w:rsid w:val="000E131C"/>
    <w:rsid w:val="000E44FD"/>
    <w:rsid w:val="00100E45"/>
    <w:rsid w:val="00104DB6"/>
    <w:rsid w:val="001210C1"/>
    <w:rsid w:val="00134FAF"/>
    <w:rsid w:val="00135C2F"/>
    <w:rsid w:val="001430F4"/>
    <w:rsid w:val="00162D94"/>
    <w:rsid w:val="0016494C"/>
    <w:rsid w:val="001702CB"/>
    <w:rsid w:val="00171F74"/>
    <w:rsid w:val="00177ED6"/>
    <w:rsid w:val="00180364"/>
    <w:rsid w:val="001921E6"/>
    <w:rsid w:val="001A100F"/>
    <w:rsid w:val="001B1215"/>
    <w:rsid w:val="001B6DB7"/>
    <w:rsid w:val="001C6D13"/>
    <w:rsid w:val="001D40C4"/>
    <w:rsid w:val="002039B2"/>
    <w:rsid w:val="00204DFE"/>
    <w:rsid w:val="0020597E"/>
    <w:rsid w:val="00213F92"/>
    <w:rsid w:val="002143DD"/>
    <w:rsid w:val="00217F74"/>
    <w:rsid w:val="00230CC1"/>
    <w:rsid w:val="00232AD3"/>
    <w:rsid w:val="0024329E"/>
    <w:rsid w:val="00243804"/>
    <w:rsid w:val="00247FF5"/>
    <w:rsid w:val="002557B7"/>
    <w:rsid w:val="00273EF0"/>
    <w:rsid w:val="00294B2E"/>
    <w:rsid w:val="002C0C1A"/>
    <w:rsid w:val="002D22D3"/>
    <w:rsid w:val="002D4F75"/>
    <w:rsid w:val="002D51EB"/>
    <w:rsid w:val="0031199B"/>
    <w:rsid w:val="00324A0F"/>
    <w:rsid w:val="0033240A"/>
    <w:rsid w:val="00334BEC"/>
    <w:rsid w:val="00335D81"/>
    <w:rsid w:val="00342023"/>
    <w:rsid w:val="003502CA"/>
    <w:rsid w:val="00352451"/>
    <w:rsid w:val="003546B1"/>
    <w:rsid w:val="00357CD0"/>
    <w:rsid w:val="00375272"/>
    <w:rsid w:val="00375DD8"/>
    <w:rsid w:val="00375E30"/>
    <w:rsid w:val="003A4D58"/>
    <w:rsid w:val="003B4081"/>
    <w:rsid w:val="003C07CB"/>
    <w:rsid w:val="003C1226"/>
    <w:rsid w:val="003C51B1"/>
    <w:rsid w:val="003C560B"/>
    <w:rsid w:val="003C7A12"/>
    <w:rsid w:val="003E1C64"/>
    <w:rsid w:val="003E466F"/>
    <w:rsid w:val="003F3DBB"/>
    <w:rsid w:val="00406837"/>
    <w:rsid w:val="00406AA2"/>
    <w:rsid w:val="00407FDA"/>
    <w:rsid w:val="0041663D"/>
    <w:rsid w:val="00430652"/>
    <w:rsid w:val="004323D3"/>
    <w:rsid w:val="0043474A"/>
    <w:rsid w:val="00441EA7"/>
    <w:rsid w:val="00444FCF"/>
    <w:rsid w:val="00446562"/>
    <w:rsid w:val="00462D0B"/>
    <w:rsid w:val="00473B7E"/>
    <w:rsid w:val="0047541A"/>
    <w:rsid w:val="00477D8C"/>
    <w:rsid w:val="004806ED"/>
    <w:rsid w:val="004A381E"/>
    <w:rsid w:val="004A437E"/>
    <w:rsid w:val="004D7379"/>
    <w:rsid w:val="004E1CEC"/>
    <w:rsid w:val="00502589"/>
    <w:rsid w:val="00504AF1"/>
    <w:rsid w:val="00511D36"/>
    <w:rsid w:val="005222BC"/>
    <w:rsid w:val="00526540"/>
    <w:rsid w:val="00537064"/>
    <w:rsid w:val="00556890"/>
    <w:rsid w:val="00560DC1"/>
    <w:rsid w:val="005641C7"/>
    <w:rsid w:val="00577DA1"/>
    <w:rsid w:val="00580642"/>
    <w:rsid w:val="005865D7"/>
    <w:rsid w:val="005A684C"/>
    <w:rsid w:val="005B2D63"/>
    <w:rsid w:val="005B71DB"/>
    <w:rsid w:val="005B75A1"/>
    <w:rsid w:val="005C7C0A"/>
    <w:rsid w:val="005C7C4E"/>
    <w:rsid w:val="005D0F8A"/>
    <w:rsid w:val="005E7225"/>
    <w:rsid w:val="00603F34"/>
    <w:rsid w:val="00606682"/>
    <w:rsid w:val="0061495D"/>
    <w:rsid w:val="00623935"/>
    <w:rsid w:val="00626849"/>
    <w:rsid w:val="00631D8B"/>
    <w:rsid w:val="00632B5B"/>
    <w:rsid w:val="00634E82"/>
    <w:rsid w:val="0063609D"/>
    <w:rsid w:val="00651BC5"/>
    <w:rsid w:val="00672D2D"/>
    <w:rsid w:val="00682C76"/>
    <w:rsid w:val="0068755B"/>
    <w:rsid w:val="006B6D03"/>
    <w:rsid w:val="006C1387"/>
    <w:rsid w:val="006E4DF0"/>
    <w:rsid w:val="006F4E73"/>
    <w:rsid w:val="00702A1F"/>
    <w:rsid w:val="00715AC5"/>
    <w:rsid w:val="007219E7"/>
    <w:rsid w:val="00743ADD"/>
    <w:rsid w:val="00744D4F"/>
    <w:rsid w:val="007521F1"/>
    <w:rsid w:val="00762EFF"/>
    <w:rsid w:val="007676DB"/>
    <w:rsid w:val="0078272E"/>
    <w:rsid w:val="00783859"/>
    <w:rsid w:val="0078794F"/>
    <w:rsid w:val="00792E46"/>
    <w:rsid w:val="007B434C"/>
    <w:rsid w:val="007B6F75"/>
    <w:rsid w:val="007B71A5"/>
    <w:rsid w:val="007C032E"/>
    <w:rsid w:val="007C0C99"/>
    <w:rsid w:val="007D4890"/>
    <w:rsid w:val="007D5F29"/>
    <w:rsid w:val="007D65C4"/>
    <w:rsid w:val="007E7D49"/>
    <w:rsid w:val="007F7810"/>
    <w:rsid w:val="00807F43"/>
    <w:rsid w:val="00820D72"/>
    <w:rsid w:val="00836776"/>
    <w:rsid w:val="00836F71"/>
    <w:rsid w:val="0084567C"/>
    <w:rsid w:val="008578BE"/>
    <w:rsid w:val="008A6E97"/>
    <w:rsid w:val="008A7201"/>
    <w:rsid w:val="008C1A58"/>
    <w:rsid w:val="008C359D"/>
    <w:rsid w:val="008C4E3E"/>
    <w:rsid w:val="008D626F"/>
    <w:rsid w:val="008E1E5A"/>
    <w:rsid w:val="008E4A52"/>
    <w:rsid w:val="008F2172"/>
    <w:rsid w:val="008F7F8D"/>
    <w:rsid w:val="00907E0E"/>
    <w:rsid w:val="00911BD2"/>
    <w:rsid w:val="00922686"/>
    <w:rsid w:val="0093007E"/>
    <w:rsid w:val="00940A57"/>
    <w:rsid w:val="00942E59"/>
    <w:rsid w:val="00950F3E"/>
    <w:rsid w:val="00952714"/>
    <w:rsid w:val="00977FC7"/>
    <w:rsid w:val="009905D9"/>
    <w:rsid w:val="00991108"/>
    <w:rsid w:val="00996627"/>
    <w:rsid w:val="009A2A36"/>
    <w:rsid w:val="009B7522"/>
    <w:rsid w:val="009C62CB"/>
    <w:rsid w:val="009D4DAF"/>
    <w:rsid w:val="009D5F1F"/>
    <w:rsid w:val="00A02966"/>
    <w:rsid w:val="00A15733"/>
    <w:rsid w:val="00A16A85"/>
    <w:rsid w:val="00A17B03"/>
    <w:rsid w:val="00A338B9"/>
    <w:rsid w:val="00A616A6"/>
    <w:rsid w:val="00A64311"/>
    <w:rsid w:val="00A72A4F"/>
    <w:rsid w:val="00A7303A"/>
    <w:rsid w:val="00A74648"/>
    <w:rsid w:val="00A85416"/>
    <w:rsid w:val="00A86177"/>
    <w:rsid w:val="00A87783"/>
    <w:rsid w:val="00AE61FC"/>
    <w:rsid w:val="00B01733"/>
    <w:rsid w:val="00B027AC"/>
    <w:rsid w:val="00B30980"/>
    <w:rsid w:val="00B34ED9"/>
    <w:rsid w:val="00B35541"/>
    <w:rsid w:val="00B37DB6"/>
    <w:rsid w:val="00B40A2B"/>
    <w:rsid w:val="00B40CC3"/>
    <w:rsid w:val="00B508AB"/>
    <w:rsid w:val="00B5452F"/>
    <w:rsid w:val="00B80EEC"/>
    <w:rsid w:val="00B830D1"/>
    <w:rsid w:val="00B93A91"/>
    <w:rsid w:val="00BA00AB"/>
    <w:rsid w:val="00BA0757"/>
    <w:rsid w:val="00BA76AB"/>
    <w:rsid w:val="00BB1882"/>
    <w:rsid w:val="00BB67D4"/>
    <w:rsid w:val="00BF0762"/>
    <w:rsid w:val="00C13D9F"/>
    <w:rsid w:val="00C205FF"/>
    <w:rsid w:val="00C22490"/>
    <w:rsid w:val="00C239F1"/>
    <w:rsid w:val="00C34B03"/>
    <w:rsid w:val="00C61768"/>
    <w:rsid w:val="00C8083D"/>
    <w:rsid w:val="00C84448"/>
    <w:rsid w:val="00CA02C2"/>
    <w:rsid w:val="00CA1AB9"/>
    <w:rsid w:val="00CD0B19"/>
    <w:rsid w:val="00CD329F"/>
    <w:rsid w:val="00CE0763"/>
    <w:rsid w:val="00CE32FD"/>
    <w:rsid w:val="00CE6C39"/>
    <w:rsid w:val="00CF13A2"/>
    <w:rsid w:val="00D31015"/>
    <w:rsid w:val="00D36113"/>
    <w:rsid w:val="00D609AA"/>
    <w:rsid w:val="00D72E37"/>
    <w:rsid w:val="00D744F3"/>
    <w:rsid w:val="00D957A2"/>
    <w:rsid w:val="00DC467C"/>
    <w:rsid w:val="00DD2EB9"/>
    <w:rsid w:val="00DD6DFA"/>
    <w:rsid w:val="00DE01FA"/>
    <w:rsid w:val="00DE0B80"/>
    <w:rsid w:val="00DE32F2"/>
    <w:rsid w:val="00DF3569"/>
    <w:rsid w:val="00DF52B9"/>
    <w:rsid w:val="00E14159"/>
    <w:rsid w:val="00E25423"/>
    <w:rsid w:val="00E259BC"/>
    <w:rsid w:val="00E26BE1"/>
    <w:rsid w:val="00E3292D"/>
    <w:rsid w:val="00E407AF"/>
    <w:rsid w:val="00E55977"/>
    <w:rsid w:val="00E57973"/>
    <w:rsid w:val="00E66BB7"/>
    <w:rsid w:val="00E80F93"/>
    <w:rsid w:val="00E91D9E"/>
    <w:rsid w:val="00EB3305"/>
    <w:rsid w:val="00EB47DA"/>
    <w:rsid w:val="00EB5408"/>
    <w:rsid w:val="00EE19F4"/>
    <w:rsid w:val="00EF07AE"/>
    <w:rsid w:val="00EF41F7"/>
    <w:rsid w:val="00EF5A9B"/>
    <w:rsid w:val="00F06E02"/>
    <w:rsid w:val="00F17030"/>
    <w:rsid w:val="00F17E79"/>
    <w:rsid w:val="00F22C88"/>
    <w:rsid w:val="00F549CF"/>
    <w:rsid w:val="00F6698F"/>
    <w:rsid w:val="00F716EA"/>
    <w:rsid w:val="00F7200E"/>
    <w:rsid w:val="00F809DD"/>
    <w:rsid w:val="00F92A13"/>
    <w:rsid w:val="00FC342A"/>
    <w:rsid w:val="00FD2B71"/>
    <w:rsid w:val="00FD668E"/>
    <w:rsid w:val="00FE0EE8"/>
    <w:rsid w:val="00FE0F43"/>
    <w:rsid w:val="00FE175D"/>
    <w:rsid w:val="00FE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8609C9"/>
  <w15:docId w15:val="{EBCB9931-E81C-43B5-8134-CB74A1F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pPr>
    <w:rPr>
      <w:sz w:val="24"/>
      <w:szCs w:val="24"/>
    </w:rPr>
  </w:style>
  <w:style w:type="paragraph" w:styleId="Heading1">
    <w:name w:val="heading 1"/>
    <w:basedOn w:val="Normal"/>
    <w:next w:val="Normal"/>
    <w:qFormat/>
    <w:pPr>
      <w:spacing w:before="180" w:after="0"/>
      <w:outlineLvl w:val="0"/>
    </w:pPr>
    <w:rPr>
      <w:b/>
    </w:rPr>
  </w:style>
  <w:style w:type="paragraph" w:styleId="Heading2">
    <w:name w:val="heading 2"/>
    <w:basedOn w:val="Heading1"/>
    <w:next w:val="Normal"/>
    <w:qFormat/>
    <w:pPr>
      <w:spacing w:before="120"/>
      <w:outlineLvl w:val="1"/>
    </w:pPr>
    <w:rPr>
      <w:sz w:val="22"/>
    </w:rPr>
  </w:style>
  <w:style w:type="paragraph" w:styleId="Heading3">
    <w:name w:val="heading 3"/>
    <w:basedOn w:val="Heading2"/>
    <w:next w:val="Normal"/>
    <w:qFormat/>
    <w:pPr>
      <w:outlineLvl w:val="2"/>
    </w:pPr>
    <w:rPr>
      <w:sz w:val="20"/>
    </w:rPr>
  </w:style>
  <w:style w:type="paragraph" w:styleId="Heading4">
    <w:name w:val="heading 4"/>
    <w:basedOn w:val="Normal"/>
    <w:next w:val="Normal"/>
    <w:qFormat/>
    <w:pPr>
      <w:keepNex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 w:val="right" w:pos="9000"/>
      </w:tabs>
      <w:spacing w:before="0" w:after="0"/>
    </w:pPr>
  </w:style>
  <w:style w:type="character" w:styleId="FootnoteReference">
    <w:name w:val="footnote reference"/>
    <w:semiHidden/>
    <w:rPr>
      <w:position w:val="6"/>
      <w:sz w:val="16"/>
    </w:rPr>
  </w:style>
  <w:style w:type="paragraph" w:styleId="FootnoteText">
    <w:name w:val="footnote text"/>
    <w:basedOn w:val="Normal"/>
    <w:semiHidden/>
    <w:pPr>
      <w:ind w:left="360" w:hanging="360"/>
    </w:pPr>
  </w:style>
  <w:style w:type="paragraph" w:styleId="NormalIndent">
    <w:name w:val="Normal Indent"/>
    <w:basedOn w:val="Normal"/>
    <w:pPr>
      <w:ind w:left="720"/>
    </w:pPr>
  </w:style>
  <w:style w:type="paragraph" w:customStyle="1" w:styleId="SubList">
    <w:name w:val="SubList"/>
    <w:basedOn w:val="List"/>
    <w:pPr>
      <w:ind w:left="1440"/>
    </w:pPr>
  </w:style>
  <w:style w:type="paragraph" w:styleId="List">
    <w:name w:val="List"/>
    <w:basedOn w:val="Normal"/>
    <w:pPr>
      <w:ind w:left="720" w:hanging="360"/>
    </w:pPr>
  </w:style>
  <w:style w:type="paragraph" w:customStyle="1" w:styleId="Subject">
    <w:name w:val="Subject"/>
    <w:basedOn w:val="Normal"/>
  </w:style>
  <w:style w:type="paragraph" w:styleId="Date">
    <w:name w:val="Date"/>
    <w:basedOn w:val="Normal"/>
  </w:style>
  <w:style w:type="paragraph" w:customStyle="1" w:styleId="To">
    <w:name w:val="To"/>
    <w:basedOn w:val="Normal"/>
  </w:style>
  <w:style w:type="paragraph" w:customStyle="1" w:styleId="From">
    <w:name w:val="From"/>
    <w:basedOn w:val="Normal"/>
  </w:style>
  <w:style w:type="paragraph" w:styleId="Title">
    <w:name w:val="Title"/>
    <w:basedOn w:val="Heading1"/>
    <w:qFormat/>
    <w:pPr>
      <w:spacing w:before="0"/>
      <w:outlineLvl w:val="9"/>
    </w:pPr>
  </w:style>
  <w:style w:type="paragraph" w:customStyle="1" w:styleId="Closed">
    <w:name w:val="Closed"/>
    <w:basedOn w:val="Normal"/>
    <w:pPr>
      <w:spacing w:before="0" w:after="0"/>
    </w:pPr>
  </w:style>
  <w:style w:type="paragraph" w:customStyle="1" w:styleId="CopyList">
    <w:name w:val="CopyList"/>
    <w:basedOn w:val="Normal"/>
    <w:pPr>
      <w:tabs>
        <w:tab w:val="left" w:pos="504"/>
      </w:tabs>
      <w:spacing w:before="360" w:after="0"/>
      <w:ind w:left="504" w:hanging="504"/>
    </w:pPr>
  </w:style>
  <w:style w:type="paragraph" w:styleId="BodyText">
    <w:name w:val="Body Text"/>
    <w:basedOn w:val="Normal"/>
    <w:rPr>
      <w:rFonts w:ascii="Courier" w:hAnsi="Courier"/>
    </w:r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paragraph" w:styleId="BodyText2">
    <w:name w:val="Body Text 2"/>
    <w:basedOn w:val="Normal"/>
    <w:pPr>
      <w:autoSpaceDE w:val="0"/>
      <w:autoSpaceDN w:val="0"/>
      <w:adjustRightInd w:val="0"/>
      <w:spacing w:before="0" w:after="0"/>
    </w:pPr>
    <w:rPr>
      <w:color w:val="000000"/>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pPr>
      <w:spacing w:before="0" w:after="0"/>
    </w:pPr>
    <w:rPr>
      <w:rFonts w:ascii="Tahoma" w:hAnsi="Tahoma" w:cs="Tahoma"/>
      <w:sz w:val="16"/>
      <w:szCs w:val="16"/>
    </w:rPr>
  </w:style>
  <w:style w:type="character" w:styleId="PageNumber">
    <w:name w:val="page number"/>
    <w:basedOn w:val="DefaultParagraphFont"/>
    <w:rsid w:val="00CE6C39"/>
  </w:style>
  <w:style w:type="paragraph" w:styleId="NoSpacing">
    <w:name w:val="No Spacing"/>
    <w:uiPriority w:val="1"/>
    <w:qFormat/>
    <w:rsid w:val="00E407AF"/>
    <w:rPr>
      <w:sz w:val="24"/>
      <w:szCs w:val="24"/>
    </w:rPr>
  </w:style>
  <w:style w:type="character" w:customStyle="1" w:styleId="BalloonTextChar">
    <w:name w:val="Balloon Text Char"/>
    <w:link w:val="BalloonText"/>
    <w:uiPriority w:val="99"/>
    <w:semiHidden/>
    <w:rsid w:val="003502CA"/>
    <w:rPr>
      <w:rFonts w:ascii="Tahoma" w:hAnsi="Tahoma" w:cs="Tahoma"/>
      <w:sz w:val="16"/>
      <w:szCs w:val="16"/>
    </w:rPr>
  </w:style>
  <w:style w:type="table" w:styleId="TableGrid">
    <w:name w:val="Table Grid"/>
    <w:basedOn w:val="TableNormal"/>
    <w:rsid w:val="003C5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177ED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List6">
    <w:name w:val="Table List 6"/>
    <w:basedOn w:val="TableNormal"/>
    <w:rsid w:val="00177ED6"/>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230CC1"/>
    <w:pPr>
      <w:spacing w:before="0" w:after="200" w:line="276" w:lineRule="auto"/>
      <w:ind w:left="720"/>
      <w:contextualSpacing/>
    </w:pPr>
    <w:rPr>
      <w:rFonts w:ascii="Calibri" w:eastAsia="Calibri" w:hAnsi="Calibri"/>
      <w:sz w:val="22"/>
      <w:szCs w:val="22"/>
    </w:rPr>
  </w:style>
  <w:style w:type="character" w:styleId="Hyperlink">
    <w:name w:val="Hyperlink"/>
    <w:unhideWhenUsed/>
    <w:rsid w:val="009905D9"/>
    <w:rPr>
      <w:color w:val="0000FF"/>
      <w:u w:val="single"/>
    </w:rPr>
  </w:style>
  <w:style w:type="character" w:styleId="CommentReference">
    <w:name w:val="annotation reference"/>
    <w:semiHidden/>
    <w:unhideWhenUsed/>
    <w:rsid w:val="00F06E02"/>
    <w:rPr>
      <w:sz w:val="16"/>
      <w:szCs w:val="16"/>
    </w:rPr>
  </w:style>
  <w:style w:type="paragraph" w:styleId="CommentText">
    <w:name w:val="annotation text"/>
    <w:basedOn w:val="Normal"/>
    <w:link w:val="CommentTextChar"/>
    <w:semiHidden/>
    <w:unhideWhenUsed/>
    <w:rsid w:val="00F06E02"/>
    <w:pPr>
      <w:spacing w:before="0" w:after="0"/>
    </w:pPr>
    <w:rPr>
      <w:sz w:val="20"/>
      <w:szCs w:val="20"/>
    </w:rPr>
  </w:style>
  <w:style w:type="character" w:customStyle="1" w:styleId="CommentTextChar">
    <w:name w:val="Comment Text Char"/>
    <w:link w:val="CommentText"/>
    <w:semiHidden/>
    <w:rsid w:val="00F06E02"/>
    <w:rPr>
      <w:sz w:val="20"/>
      <w:szCs w:val="20"/>
    </w:rPr>
  </w:style>
  <w:style w:type="paragraph" w:styleId="CommentSubject">
    <w:name w:val="annotation subject"/>
    <w:basedOn w:val="CommentText"/>
    <w:next w:val="CommentText"/>
    <w:link w:val="CommentSubjectChar"/>
    <w:semiHidden/>
    <w:unhideWhenUsed/>
    <w:rsid w:val="002C0C1A"/>
    <w:pPr>
      <w:spacing w:before="60" w:after="60"/>
    </w:pPr>
    <w:rPr>
      <w:b/>
      <w:bCs/>
    </w:rPr>
  </w:style>
  <w:style w:type="character" w:customStyle="1" w:styleId="CommentSubjectChar">
    <w:name w:val="Comment Subject Char"/>
    <w:basedOn w:val="CommentTextChar"/>
    <w:link w:val="CommentSubject"/>
    <w:semiHidden/>
    <w:rsid w:val="002C0C1A"/>
    <w:rPr>
      <w:b/>
      <w:bCs/>
      <w:sz w:val="20"/>
      <w:szCs w:val="20"/>
    </w:rPr>
  </w:style>
  <w:style w:type="character" w:styleId="FollowedHyperlink">
    <w:name w:val="FollowedHyperlink"/>
    <w:basedOn w:val="DefaultParagraphFont"/>
    <w:semiHidden/>
    <w:unhideWhenUsed/>
    <w:rsid w:val="001702CB"/>
    <w:rPr>
      <w:color w:val="800080" w:themeColor="followedHyperlink"/>
      <w:u w:val="single"/>
    </w:rPr>
  </w:style>
  <w:style w:type="character" w:styleId="UnresolvedMention">
    <w:name w:val="Unresolved Mention"/>
    <w:basedOn w:val="DefaultParagraphFont"/>
    <w:uiPriority w:val="99"/>
    <w:semiHidden/>
    <w:unhideWhenUsed/>
    <w:rsid w:val="008F2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5004">
      <w:bodyDiv w:val="1"/>
      <w:marLeft w:val="0"/>
      <w:marRight w:val="0"/>
      <w:marTop w:val="0"/>
      <w:marBottom w:val="0"/>
      <w:divBdr>
        <w:top w:val="none" w:sz="0" w:space="0" w:color="auto"/>
        <w:left w:val="none" w:sz="0" w:space="0" w:color="auto"/>
        <w:bottom w:val="none" w:sz="0" w:space="0" w:color="auto"/>
        <w:right w:val="none" w:sz="0" w:space="0" w:color="auto"/>
      </w:divBdr>
    </w:div>
    <w:div w:id="927956662">
      <w:bodyDiv w:val="1"/>
      <w:marLeft w:val="0"/>
      <w:marRight w:val="0"/>
      <w:marTop w:val="0"/>
      <w:marBottom w:val="0"/>
      <w:divBdr>
        <w:top w:val="none" w:sz="0" w:space="0" w:color="auto"/>
        <w:left w:val="none" w:sz="0" w:space="0" w:color="auto"/>
        <w:bottom w:val="none" w:sz="0" w:space="0" w:color="auto"/>
        <w:right w:val="none" w:sz="0" w:space="0" w:color="auto"/>
      </w:divBdr>
    </w:div>
    <w:div w:id="1802382848">
      <w:bodyDiv w:val="1"/>
      <w:marLeft w:val="0"/>
      <w:marRight w:val="0"/>
      <w:marTop w:val="0"/>
      <w:marBottom w:val="0"/>
      <w:divBdr>
        <w:top w:val="none" w:sz="0" w:space="0" w:color="auto"/>
        <w:left w:val="none" w:sz="0" w:space="0" w:color="auto"/>
        <w:bottom w:val="none" w:sz="0" w:space="0" w:color="auto"/>
        <w:right w:val="none" w:sz="0" w:space="0" w:color="auto"/>
      </w:divBdr>
      <w:divsChild>
        <w:div w:id="1503005647">
          <w:marLeft w:val="0"/>
          <w:marRight w:val="0"/>
          <w:marTop w:val="0"/>
          <w:marBottom w:val="0"/>
          <w:divBdr>
            <w:top w:val="none" w:sz="0" w:space="0" w:color="auto"/>
            <w:left w:val="none" w:sz="0" w:space="0" w:color="auto"/>
            <w:bottom w:val="none" w:sz="0" w:space="0" w:color="auto"/>
            <w:right w:val="none" w:sz="0" w:space="0" w:color="auto"/>
          </w:divBdr>
        </w:div>
        <w:div w:id="506336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pp.leg.wa.gov/RCW/default.aspx?cite=10.116.06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p.leg.wa.gov/RCW/default.aspx?cite=46.61.035"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TPDI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441C9D8AB8454B9205D87F654F27B8" ma:contentTypeVersion="0" ma:contentTypeDescription="Create a new document." ma:contentTypeScope="" ma:versionID="0e339069f09dbb71214417e2a7d096c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3F94C-0A50-4230-B26B-90D4DBAFC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7345FD1-441B-49CA-88F0-D8AF9E5ACCD9}">
  <ds:schemaRefs>
    <ds:schemaRef ds:uri="http://schemas.microsoft.com/sharepoint/v3/contenttype/forms"/>
  </ds:schemaRefs>
</ds:datastoreItem>
</file>

<file path=customXml/itemProps3.xml><?xml version="1.0" encoding="utf-8"?>
<ds:datastoreItem xmlns:ds="http://schemas.openxmlformats.org/officeDocument/2006/customXml" ds:itemID="{81E1DE69-16A5-47B3-9771-C3AB3DCC54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TPDIDM</Template>
  <TotalTime>28</TotalTime>
  <Pages>4</Pages>
  <Words>1454</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Create TPD IDM</vt:lpstr>
    </vt:vector>
  </TitlesOfParts>
  <Company>City of Tacoma</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TPD IDM</dc:title>
  <dc:creator>Tacoma Police Department</dc:creator>
  <cp:lastModifiedBy>Nasworthy, Marie</cp:lastModifiedBy>
  <cp:revision>4</cp:revision>
  <cp:lastPrinted>2023-02-27T21:25:00Z</cp:lastPrinted>
  <dcterms:created xsi:type="dcterms:W3CDTF">2023-02-27T20:55:00Z</dcterms:created>
  <dcterms:modified xsi:type="dcterms:W3CDTF">2023-02-27T21:29:00Z</dcterms:modified>
</cp:coreProperties>
</file>