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D14ED" w14:textId="6BBABB49" w:rsidR="002D3F1A" w:rsidRDefault="00D506EB">
      <w:r>
        <w:t>2014:</w:t>
      </w:r>
    </w:p>
    <w:p w14:paraId="2A66A611" w14:textId="77777777" w:rsidR="00D506EB" w:rsidRDefault="00D506EB" w:rsidP="00D506EB">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48"/>
        <w:gridCol w:w="8500"/>
      </w:tblGrid>
      <w:tr w:rsidR="00D506EB" w14:paraId="00B45A4C" w14:textId="77777777" w:rsidTr="00D506EB">
        <w:tblPrEx>
          <w:tblCellMar>
            <w:top w:w="0" w:type="dxa"/>
            <w:bottom w:w="0" w:type="dxa"/>
          </w:tblCellMar>
        </w:tblPrEx>
        <w:trPr>
          <w:trHeight w:val="1985"/>
        </w:trPr>
        <w:tc>
          <w:tcPr>
            <w:tcW w:w="648" w:type="dxa"/>
            <w:tcBorders>
              <w:top w:val="none" w:sz="6" w:space="0" w:color="auto"/>
              <w:bottom w:val="none" w:sz="6" w:space="0" w:color="auto"/>
              <w:right w:val="none" w:sz="6" w:space="0" w:color="auto"/>
            </w:tcBorders>
          </w:tcPr>
          <w:p w14:paraId="3EFDA0FC" w14:textId="77777777" w:rsidR="00D506EB" w:rsidRDefault="00D506EB">
            <w:pPr>
              <w:pStyle w:val="Default"/>
              <w:rPr>
                <w:sz w:val="23"/>
                <w:szCs w:val="23"/>
              </w:rPr>
            </w:pPr>
            <w:r>
              <w:rPr>
                <w:sz w:val="23"/>
                <w:szCs w:val="23"/>
              </w:rPr>
              <w:t xml:space="preserve">4.3* </w:t>
            </w:r>
          </w:p>
        </w:tc>
        <w:tc>
          <w:tcPr>
            <w:tcW w:w="8500" w:type="dxa"/>
            <w:tcBorders>
              <w:top w:val="none" w:sz="6" w:space="0" w:color="auto"/>
              <w:left w:val="none" w:sz="6" w:space="0" w:color="auto"/>
              <w:bottom w:val="none" w:sz="6" w:space="0" w:color="auto"/>
            </w:tcBorders>
          </w:tcPr>
          <w:p w14:paraId="2315AFFA" w14:textId="77777777" w:rsidR="00D506EB" w:rsidRDefault="00D506EB">
            <w:pPr>
              <w:pStyle w:val="Default"/>
              <w:rPr>
                <w:sz w:val="23"/>
                <w:szCs w:val="23"/>
              </w:rPr>
            </w:pPr>
            <w:r>
              <w:rPr>
                <w:sz w:val="23"/>
                <w:szCs w:val="23"/>
              </w:rPr>
              <w:t xml:space="preserve">The agency has a policy that requires an annual management review and analysis, with final review approved by the chief executive officer, of the following incidents: </w:t>
            </w:r>
          </w:p>
          <w:p w14:paraId="120CC7CA" w14:textId="77777777" w:rsidR="00D506EB" w:rsidRDefault="00D506EB">
            <w:pPr>
              <w:pStyle w:val="Default"/>
              <w:rPr>
                <w:sz w:val="23"/>
                <w:szCs w:val="23"/>
              </w:rPr>
            </w:pPr>
            <w:r>
              <w:rPr>
                <w:sz w:val="23"/>
                <w:szCs w:val="23"/>
              </w:rPr>
              <w:t xml:space="preserve">• Vehicle pursuits </w:t>
            </w:r>
          </w:p>
          <w:p w14:paraId="0F594C2E" w14:textId="77777777" w:rsidR="00D506EB" w:rsidRDefault="00D506EB">
            <w:pPr>
              <w:pStyle w:val="Default"/>
              <w:rPr>
                <w:sz w:val="23"/>
                <w:szCs w:val="23"/>
              </w:rPr>
            </w:pPr>
            <w:r>
              <w:rPr>
                <w:sz w:val="23"/>
                <w:szCs w:val="23"/>
              </w:rPr>
              <w:t xml:space="preserve">• Use of force events </w:t>
            </w:r>
          </w:p>
          <w:p w14:paraId="6FCC323C" w14:textId="77777777" w:rsidR="00D506EB" w:rsidRDefault="00D506EB">
            <w:pPr>
              <w:pStyle w:val="Default"/>
              <w:rPr>
                <w:sz w:val="23"/>
                <w:szCs w:val="23"/>
              </w:rPr>
            </w:pPr>
            <w:r>
              <w:rPr>
                <w:sz w:val="23"/>
                <w:szCs w:val="23"/>
              </w:rPr>
              <w:t xml:space="preserve">• Internal investigations </w:t>
            </w:r>
          </w:p>
          <w:p w14:paraId="07B02A7A" w14:textId="77777777" w:rsidR="00D506EB" w:rsidRDefault="00D506EB">
            <w:pPr>
              <w:pStyle w:val="Default"/>
              <w:rPr>
                <w:sz w:val="23"/>
                <w:szCs w:val="23"/>
              </w:rPr>
            </w:pPr>
            <w:r>
              <w:rPr>
                <w:sz w:val="23"/>
                <w:szCs w:val="23"/>
              </w:rPr>
              <w:t xml:space="preserve">• Biased based profiling incidents </w:t>
            </w:r>
          </w:p>
          <w:p w14:paraId="0C5A3568" w14:textId="77777777" w:rsidR="00D506EB" w:rsidRDefault="00D506EB">
            <w:pPr>
              <w:pStyle w:val="Default"/>
              <w:rPr>
                <w:sz w:val="23"/>
                <w:szCs w:val="23"/>
              </w:rPr>
            </w:pPr>
          </w:p>
          <w:p w14:paraId="7BBF9B43" w14:textId="465FF72F" w:rsidR="00D506EB" w:rsidRDefault="00D506EB">
            <w:pPr>
              <w:pStyle w:val="Default"/>
              <w:rPr>
                <w:sz w:val="23"/>
                <w:szCs w:val="23"/>
              </w:rPr>
            </w:pPr>
            <w:r>
              <w:rPr>
                <w:b/>
                <w:bCs/>
                <w:i/>
                <w:iCs/>
                <w:sz w:val="23"/>
                <w:szCs w:val="23"/>
              </w:rPr>
              <w:t>Purpose</w:t>
            </w:r>
            <w:r>
              <w:rPr>
                <w:i/>
                <w:iCs/>
                <w:sz w:val="23"/>
                <w:szCs w:val="23"/>
              </w:rPr>
              <w:t xml:space="preserve">: It is the intent that agencies require ongoing first level supervisory and administrative review of these high liability incidents. Additionally, an annual review and analysis of these incidents shall be conducted at the command level, with approval by the CEO, and can be used as an early warning system. Agencies should address policy, procedure, training </w:t>
            </w:r>
            <w:r w:rsidRPr="00D506EB">
              <w:rPr>
                <w:i/>
                <w:iCs/>
                <w:sz w:val="23"/>
                <w:szCs w:val="23"/>
              </w:rPr>
              <w:t>and/or personnel issues that are identified during this review process.</w:t>
            </w:r>
          </w:p>
        </w:tc>
      </w:tr>
    </w:tbl>
    <w:p w14:paraId="74DC2855" w14:textId="17094AFB" w:rsidR="00D506EB" w:rsidRDefault="00D506EB">
      <w:r>
        <w:t>From 2023 ppt:</w:t>
      </w:r>
    </w:p>
    <w:p w14:paraId="0344B280" w14:textId="63F21401" w:rsidR="00D506EB" w:rsidRDefault="00D506EB" w:rsidP="00D506EB">
      <w:r>
        <w:t>EVIDENCE/PROOF</w:t>
      </w:r>
      <w:r w:rsidR="00C52F37">
        <w:t xml:space="preserve"> </w:t>
      </w:r>
      <w:r>
        <w:t>OF</w:t>
      </w:r>
      <w:r w:rsidR="00C52F37">
        <w:t xml:space="preserve"> </w:t>
      </w:r>
      <w:r>
        <w:t>COMPLIANCE</w:t>
      </w:r>
    </w:p>
    <w:p w14:paraId="480261EF" w14:textId="7BFA9552" w:rsidR="00D506EB" w:rsidRDefault="00D506EB" w:rsidP="00D506EB">
      <w:pPr>
        <w:pStyle w:val="ListParagraph"/>
        <w:numPr>
          <w:ilvl w:val="0"/>
          <w:numId w:val="2"/>
        </w:numPr>
      </w:pPr>
      <w:r>
        <w:t>Policy that meets standard</w:t>
      </w:r>
    </w:p>
    <w:p w14:paraId="5F5D387F" w14:textId="34F2FB4D" w:rsidR="00D506EB" w:rsidRDefault="00D506EB" w:rsidP="00D506EB">
      <w:pPr>
        <w:pStyle w:val="ListParagraph"/>
        <w:numPr>
          <w:ilvl w:val="0"/>
          <w:numId w:val="2"/>
        </w:numPr>
      </w:pPr>
      <w:r>
        <w:t>Documentation that supports policy</w:t>
      </w:r>
    </w:p>
    <w:p w14:paraId="2FC68EAD" w14:textId="49F8C7F4" w:rsidR="00D506EB" w:rsidRDefault="00D506EB" w:rsidP="00D506EB">
      <w:pPr>
        <w:pStyle w:val="ListParagraph"/>
        <w:numPr>
          <w:ilvl w:val="1"/>
          <w:numId w:val="2"/>
        </w:numPr>
      </w:pPr>
      <w:r>
        <w:t>Memo to CEO with analysis covering each area of standard</w:t>
      </w:r>
    </w:p>
    <w:p w14:paraId="3593662C" w14:textId="0B02565E" w:rsidR="00D506EB" w:rsidRDefault="00D506EB" w:rsidP="00D506EB">
      <w:pPr>
        <w:pStyle w:val="ListParagraph"/>
        <w:numPr>
          <w:ilvl w:val="1"/>
          <w:numId w:val="2"/>
        </w:numPr>
      </w:pPr>
      <w:r>
        <w:t>Can combine all four areas into one annual memo</w:t>
      </w:r>
    </w:p>
    <w:p w14:paraId="0842FC50" w14:textId="77777777" w:rsidR="00D506EB" w:rsidRDefault="00D506EB" w:rsidP="00D506EB">
      <w:pPr>
        <w:pStyle w:val="Default"/>
      </w:pPr>
    </w:p>
    <w:p w14:paraId="5E5E0805" w14:textId="77777777" w:rsidR="009158EA" w:rsidRDefault="009158EA" w:rsidP="00D506EB">
      <w:pPr>
        <w:pStyle w:val="Default"/>
      </w:pPr>
    </w:p>
    <w:tbl>
      <w:tblPr>
        <w:tblW w:w="919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8370"/>
      </w:tblGrid>
      <w:tr w:rsidR="00D506EB" w14:paraId="4D1260E1" w14:textId="77777777" w:rsidTr="00D506EB">
        <w:tblPrEx>
          <w:tblCellMar>
            <w:top w:w="0" w:type="dxa"/>
            <w:bottom w:w="0" w:type="dxa"/>
          </w:tblCellMar>
        </w:tblPrEx>
        <w:trPr>
          <w:trHeight w:val="1020"/>
        </w:trPr>
        <w:tc>
          <w:tcPr>
            <w:tcW w:w="828" w:type="dxa"/>
            <w:tcBorders>
              <w:top w:val="none" w:sz="6" w:space="0" w:color="auto"/>
              <w:bottom w:val="none" w:sz="6" w:space="0" w:color="auto"/>
              <w:right w:val="none" w:sz="6" w:space="0" w:color="auto"/>
            </w:tcBorders>
          </w:tcPr>
          <w:p w14:paraId="0CD63C64" w14:textId="77777777" w:rsidR="00D506EB" w:rsidRDefault="00D506EB">
            <w:pPr>
              <w:pStyle w:val="Default"/>
              <w:rPr>
                <w:sz w:val="23"/>
                <w:szCs w:val="23"/>
              </w:rPr>
            </w:pPr>
            <w:r>
              <w:rPr>
                <w:sz w:val="23"/>
                <w:szCs w:val="23"/>
              </w:rPr>
              <w:t xml:space="preserve">15.5 </w:t>
            </w:r>
          </w:p>
        </w:tc>
        <w:tc>
          <w:tcPr>
            <w:tcW w:w="8370" w:type="dxa"/>
            <w:tcBorders>
              <w:top w:val="none" w:sz="6" w:space="0" w:color="auto"/>
              <w:left w:val="none" w:sz="6" w:space="0" w:color="auto"/>
              <w:bottom w:val="none" w:sz="6" w:space="0" w:color="auto"/>
            </w:tcBorders>
          </w:tcPr>
          <w:p w14:paraId="11D78C11" w14:textId="77777777" w:rsidR="00D506EB" w:rsidRDefault="00D506EB" w:rsidP="00D506EB">
            <w:pPr>
              <w:pStyle w:val="Default"/>
              <w:ind w:right="1950"/>
              <w:rPr>
                <w:sz w:val="23"/>
                <w:szCs w:val="23"/>
              </w:rPr>
            </w:pPr>
            <w:r>
              <w:rPr>
                <w:sz w:val="23"/>
                <w:szCs w:val="23"/>
              </w:rPr>
              <w:t xml:space="preserve">The agency has policies governing the pursuit of motor vehicles that conforms to Washington State law that includes: </w:t>
            </w:r>
          </w:p>
          <w:p w14:paraId="15252372" w14:textId="77777777" w:rsidR="00D506EB" w:rsidRDefault="00D506EB">
            <w:pPr>
              <w:pStyle w:val="Default"/>
              <w:rPr>
                <w:sz w:val="23"/>
                <w:szCs w:val="23"/>
              </w:rPr>
            </w:pPr>
            <w:r>
              <w:rPr>
                <w:sz w:val="23"/>
                <w:szCs w:val="23"/>
              </w:rPr>
              <w:t xml:space="preserve">• The factors to be considered when initiating a pursuit; </w:t>
            </w:r>
          </w:p>
          <w:p w14:paraId="4CCD99E4" w14:textId="77777777" w:rsidR="00D506EB" w:rsidRDefault="00D506EB">
            <w:pPr>
              <w:pStyle w:val="Default"/>
              <w:rPr>
                <w:sz w:val="23"/>
                <w:szCs w:val="23"/>
              </w:rPr>
            </w:pPr>
            <w:r>
              <w:rPr>
                <w:sz w:val="23"/>
                <w:szCs w:val="23"/>
              </w:rPr>
              <w:t xml:space="preserve">• Initiating officer responsibilities; </w:t>
            </w:r>
          </w:p>
          <w:p w14:paraId="069592A1" w14:textId="77777777" w:rsidR="00D506EB" w:rsidRDefault="00D506EB">
            <w:pPr>
              <w:pStyle w:val="Default"/>
              <w:rPr>
                <w:sz w:val="23"/>
                <w:szCs w:val="23"/>
              </w:rPr>
            </w:pPr>
            <w:r>
              <w:rPr>
                <w:sz w:val="23"/>
                <w:szCs w:val="23"/>
              </w:rPr>
              <w:t xml:space="preserve">• Secondary unit responsibilities; </w:t>
            </w:r>
          </w:p>
          <w:p w14:paraId="3326D2F3" w14:textId="77777777" w:rsidR="00D506EB" w:rsidRDefault="00D506EB">
            <w:pPr>
              <w:pStyle w:val="Default"/>
              <w:rPr>
                <w:sz w:val="23"/>
                <w:szCs w:val="23"/>
              </w:rPr>
            </w:pPr>
            <w:r>
              <w:rPr>
                <w:sz w:val="23"/>
                <w:szCs w:val="23"/>
              </w:rPr>
              <w:t>• Restrictions pertinent to marked and unmarked vehicles;</w:t>
            </w:r>
          </w:p>
          <w:p w14:paraId="73779169" w14:textId="77777777" w:rsidR="00D506EB" w:rsidRDefault="00D506EB">
            <w:pPr>
              <w:pStyle w:val="Default"/>
              <w:rPr>
                <w:sz w:val="23"/>
                <w:szCs w:val="23"/>
              </w:rPr>
            </w:pPr>
          </w:p>
        </w:tc>
      </w:tr>
    </w:tbl>
    <w:p w14:paraId="09C64C43" w14:textId="028AC463" w:rsidR="00D506EB" w:rsidRPr="00D506EB" w:rsidRDefault="00D506EB" w:rsidP="00D506EB">
      <w:pPr>
        <w:autoSpaceDE w:val="0"/>
        <w:autoSpaceDN w:val="0"/>
        <w:adjustRightInd w:val="0"/>
        <w:spacing w:after="0" w:line="240" w:lineRule="auto"/>
        <w:rPr>
          <w:rFonts w:ascii="Arial" w:hAnsi="Arial" w:cs="Arial"/>
          <w:kern w:val="0"/>
          <w:sz w:val="17"/>
          <w:szCs w:val="17"/>
        </w:rPr>
      </w:pPr>
      <w:r>
        <w:t xml:space="preserve">NB:  revised in 2015 to </w:t>
      </w:r>
      <w:r>
        <w:rPr>
          <w:rFonts w:ascii="Arial" w:hAnsi="Arial" w:cs="Arial"/>
          <w:kern w:val="0"/>
          <w:sz w:val="17"/>
          <w:szCs w:val="17"/>
        </w:rPr>
        <w:t>The agency has a Motor Vehicle Pursuit policy that</w:t>
      </w:r>
      <w:r>
        <w:rPr>
          <w:rFonts w:ascii="Arial" w:hAnsi="Arial" w:cs="Arial"/>
          <w:kern w:val="0"/>
          <w:sz w:val="17"/>
          <w:szCs w:val="17"/>
        </w:rPr>
        <w:t xml:space="preserve"> </w:t>
      </w:r>
      <w:r>
        <w:rPr>
          <w:rFonts w:ascii="Arial" w:hAnsi="Arial" w:cs="Arial"/>
          <w:kern w:val="0"/>
          <w:sz w:val="17"/>
          <w:szCs w:val="17"/>
        </w:rPr>
        <w:t>conforms to Washington State law.</w:t>
      </w:r>
    </w:p>
    <w:p w14:paraId="1C632B64" w14:textId="77777777" w:rsidR="00D506EB" w:rsidRDefault="00D506EB" w:rsidP="00D506EB">
      <w:pPr>
        <w:pStyle w:val="Default"/>
      </w:pPr>
    </w:p>
    <w:p w14:paraId="7A2C77D2" w14:textId="23845121" w:rsidR="00D506EB" w:rsidRDefault="00D506EB" w:rsidP="00D506EB">
      <w:pPr>
        <w:rPr>
          <w:b/>
          <w:bCs/>
          <w:sz w:val="23"/>
          <w:szCs w:val="23"/>
        </w:rPr>
      </w:pPr>
      <w:r>
        <w:rPr>
          <w:b/>
          <w:bCs/>
          <w:sz w:val="23"/>
          <w:szCs w:val="23"/>
        </w:rPr>
        <w:t>PLEASE NOTE: STANDARDS WITH AN ASTERISK (*) REQUIRE ANNUAL PROOFS IN EACH FILE.</w:t>
      </w:r>
    </w:p>
    <w:p w14:paraId="379DEF6B" w14:textId="77777777" w:rsidR="00D506EB" w:rsidRDefault="00D506EB" w:rsidP="00D506EB">
      <w:pPr>
        <w:rPr>
          <w:b/>
          <w:bCs/>
          <w:sz w:val="23"/>
          <w:szCs w:val="23"/>
        </w:rPr>
      </w:pPr>
    </w:p>
    <w:p w14:paraId="4FB4E62F" w14:textId="6B8995BE" w:rsidR="00D506EB" w:rsidRPr="00D506EB" w:rsidRDefault="00D506EB" w:rsidP="00D506EB">
      <w:pPr>
        <w:rPr>
          <w:sz w:val="23"/>
          <w:szCs w:val="23"/>
        </w:rPr>
      </w:pPr>
      <w:r w:rsidRPr="00D506EB">
        <w:rPr>
          <w:sz w:val="23"/>
          <w:szCs w:val="23"/>
        </w:rPr>
        <w:t>From 2023 ppt:</w:t>
      </w:r>
    </w:p>
    <w:p w14:paraId="19586C18" w14:textId="2729A02C" w:rsidR="00D506EB" w:rsidRPr="00D506EB" w:rsidRDefault="00D506EB" w:rsidP="00D506EB">
      <w:pPr>
        <w:rPr>
          <w:sz w:val="23"/>
          <w:szCs w:val="23"/>
        </w:rPr>
      </w:pPr>
      <w:r w:rsidRPr="00D506EB">
        <w:rPr>
          <w:sz w:val="23"/>
          <w:szCs w:val="23"/>
        </w:rPr>
        <w:t>EVIDENCE/PROOF</w:t>
      </w:r>
      <w:r>
        <w:rPr>
          <w:sz w:val="23"/>
          <w:szCs w:val="23"/>
        </w:rPr>
        <w:t xml:space="preserve"> </w:t>
      </w:r>
      <w:r w:rsidRPr="00D506EB">
        <w:rPr>
          <w:sz w:val="23"/>
          <w:szCs w:val="23"/>
        </w:rPr>
        <w:t>OF</w:t>
      </w:r>
      <w:r>
        <w:rPr>
          <w:sz w:val="23"/>
          <w:szCs w:val="23"/>
        </w:rPr>
        <w:t xml:space="preserve"> </w:t>
      </w:r>
      <w:r w:rsidRPr="00D506EB">
        <w:rPr>
          <w:sz w:val="23"/>
          <w:szCs w:val="23"/>
        </w:rPr>
        <w:t>COMPLIANCE</w:t>
      </w:r>
    </w:p>
    <w:p w14:paraId="1EA729DF" w14:textId="77777777" w:rsidR="00D506EB" w:rsidRPr="00D506EB" w:rsidRDefault="00D506EB" w:rsidP="00D506EB">
      <w:pPr>
        <w:pStyle w:val="ListParagraph"/>
        <w:numPr>
          <w:ilvl w:val="0"/>
          <w:numId w:val="3"/>
        </w:numPr>
        <w:rPr>
          <w:sz w:val="23"/>
          <w:szCs w:val="23"/>
        </w:rPr>
      </w:pPr>
      <w:r w:rsidRPr="00D506EB">
        <w:rPr>
          <w:sz w:val="23"/>
          <w:szCs w:val="23"/>
        </w:rPr>
        <w:t>Policy that meets standard and the latest RCW revisions</w:t>
      </w:r>
    </w:p>
    <w:p w14:paraId="67178A37" w14:textId="07EF4105" w:rsidR="00D506EB" w:rsidRPr="00D506EB" w:rsidRDefault="00D506EB" w:rsidP="00D506EB">
      <w:pPr>
        <w:pStyle w:val="ListParagraph"/>
        <w:numPr>
          <w:ilvl w:val="0"/>
          <w:numId w:val="3"/>
        </w:numPr>
        <w:rPr>
          <w:sz w:val="23"/>
          <w:szCs w:val="23"/>
        </w:rPr>
      </w:pPr>
      <w:r w:rsidRPr="00D506EB">
        <w:rPr>
          <w:sz w:val="23"/>
          <w:szCs w:val="23"/>
        </w:rPr>
        <w:t>Copy of redacted case report pages that cover policy and RCW.</w:t>
      </w:r>
    </w:p>
    <w:p w14:paraId="131D553B" w14:textId="378E710F" w:rsidR="00D506EB" w:rsidRPr="00D506EB" w:rsidRDefault="00D506EB" w:rsidP="00D506EB">
      <w:pPr>
        <w:pStyle w:val="ListParagraph"/>
        <w:numPr>
          <w:ilvl w:val="0"/>
          <w:numId w:val="3"/>
        </w:numPr>
        <w:rPr>
          <w:sz w:val="23"/>
          <w:szCs w:val="23"/>
        </w:rPr>
      </w:pPr>
      <w:r w:rsidRPr="00D506EB">
        <w:rPr>
          <w:sz w:val="23"/>
          <w:szCs w:val="23"/>
        </w:rPr>
        <w:t>NOTE: Be aware of training requirements of RCW and your policy</w:t>
      </w:r>
    </w:p>
    <w:p w14:paraId="39479B51" w14:textId="77777777" w:rsidR="00D506EB" w:rsidRDefault="00D506EB" w:rsidP="00D506EB"/>
    <w:sectPr w:rsidR="00D5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9A18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4657D3D"/>
    <w:multiLevelType w:val="hybridMultilevel"/>
    <w:tmpl w:val="B2E8E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372DE"/>
    <w:multiLevelType w:val="hybridMultilevel"/>
    <w:tmpl w:val="E5E6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440414">
    <w:abstractNumId w:val="0"/>
  </w:num>
  <w:num w:numId="2" w16cid:durableId="1930313600">
    <w:abstractNumId w:val="1"/>
  </w:num>
  <w:num w:numId="3" w16cid:durableId="1641106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EB"/>
    <w:rsid w:val="002D3F1A"/>
    <w:rsid w:val="008849E5"/>
    <w:rsid w:val="009158EA"/>
    <w:rsid w:val="00C52F37"/>
    <w:rsid w:val="00D5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7BE1"/>
  <w15:chartTrackingRefBased/>
  <w15:docId w15:val="{8EE60029-BB12-4880-99AE-60455614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06E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D50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morris</dc:creator>
  <cp:keywords/>
  <dc:description/>
  <cp:lastModifiedBy>martina morris</cp:lastModifiedBy>
  <cp:revision>1</cp:revision>
  <dcterms:created xsi:type="dcterms:W3CDTF">2024-06-13T20:09:00Z</dcterms:created>
  <dcterms:modified xsi:type="dcterms:W3CDTF">2024-06-14T00:58:00Z</dcterms:modified>
</cp:coreProperties>
</file>