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AC" w:rsidRDefault="005D7A17" w:rsidP="008B2D04">
      <w:pPr>
        <w:pStyle w:val="Title"/>
        <w:rPr>
          <w:rFonts w:asciiTheme="minorHAnsi" w:hAnsiTheme="minorHAnsi"/>
          <w:sz w:val="24"/>
        </w:rPr>
      </w:pPr>
      <w:bookmarkStart w:id="0" w:name="_GoBack"/>
      <w:bookmarkEnd w:id="0"/>
      <w:r w:rsidRPr="001E76E6">
        <w:rPr>
          <w:rFonts w:asciiTheme="minorHAnsi" w:hAnsiTheme="minorHAnsi"/>
          <w:noProof/>
          <w:color w:val="365F91" w:themeColor="accent1" w:themeShade="BF"/>
          <w:szCs w:val="32"/>
        </w:rPr>
        <w:drawing>
          <wp:anchor distT="0" distB="0" distL="114300" distR="114300" simplePos="0" relativeHeight="251658240" behindDoc="1" locked="0" layoutInCell="1" allowOverlap="1" wp14:anchorId="5BE7E098" wp14:editId="69A00BB2">
            <wp:simplePos x="0" y="0"/>
            <wp:positionH relativeFrom="column">
              <wp:posOffset>147320</wp:posOffset>
            </wp:positionH>
            <wp:positionV relativeFrom="paragraph">
              <wp:posOffset>-84455</wp:posOffset>
            </wp:positionV>
            <wp:extent cx="1263650" cy="641985"/>
            <wp:effectExtent l="0" t="0" r="0" b="5715"/>
            <wp:wrapThrough wrapText="bothSides">
              <wp:wrapPolygon edited="0">
                <wp:start x="0" y="0"/>
                <wp:lineTo x="0" y="21151"/>
                <wp:lineTo x="21166" y="21151"/>
                <wp:lineTo x="21166" y="0"/>
                <wp:lineTo x="0" y="0"/>
              </wp:wrapPolygon>
            </wp:wrapThrough>
            <wp:docPr id="1" name="Picture 1" descr="IIT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D04" w:rsidRPr="005D7A17" w:rsidRDefault="008B2D04" w:rsidP="008B2D04">
      <w:pPr>
        <w:pStyle w:val="Title"/>
        <w:rPr>
          <w:rFonts w:asciiTheme="minorHAnsi" w:hAnsiTheme="minorHAnsi"/>
          <w:color w:val="1F497D" w:themeColor="text2"/>
          <w:szCs w:val="32"/>
        </w:rPr>
      </w:pPr>
      <w:r w:rsidRPr="005D7A17">
        <w:rPr>
          <w:rFonts w:asciiTheme="minorHAnsi" w:hAnsiTheme="minorHAnsi"/>
          <w:color w:val="1F497D" w:themeColor="text2"/>
          <w:szCs w:val="32"/>
        </w:rPr>
        <w:t>Employee Benefits Summary</w:t>
      </w:r>
    </w:p>
    <w:p w:rsidR="008B2D04" w:rsidRDefault="008B2D04">
      <w:pPr>
        <w:rPr>
          <w:sz w:val="20"/>
          <w:szCs w:val="20"/>
        </w:rPr>
      </w:pPr>
    </w:p>
    <w:p w:rsidR="00BA2AAC" w:rsidRPr="00BA2AAC" w:rsidRDefault="00BA2AAC">
      <w:pPr>
        <w:rPr>
          <w:sz w:val="20"/>
          <w:szCs w:val="20"/>
        </w:rPr>
      </w:pPr>
    </w:p>
    <w:tbl>
      <w:tblPr>
        <w:tblStyle w:val="TableGrid"/>
        <w:tblW w:w="11160" w:type="dxa"/>
        <w:tblInd w:w="-162" w:type="dxa"/>
        <w:tblLook w:val="04A0" w:firstRow="1" w:lastRow="0" w:firstColumn="1" w:lastColumn="0" w:noHBand="0" w:noVBand="1"/>
      </w:tblPr>
      <w:tblGrid>
        <w:gridCol w:w="3420"/>
        <w:gridCol w:w="7740"/>
      </w:tblGrid>
      <w:tr w:rsidR="008B2D04" w:rsidRPr="00BA2AAC" w:rsidTr="005D7A17">
        <w:trPr>
          <w:trHeight w:val="422"/>
        </w:trPr>
        <w:tc>
          <w:tcPr>
            <w:tcW w:w="342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A2AAC">
              <w:rPr>
                <w:rFonts w:cs="Times New Roman"/>
                <w:b/>
                <w:sz w:val="20"/>
                <w:szCs w:val="20"/>
              </w:rPr>
              <w:t>Benefits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A2AAC">
              <w:rPr>
                <w:rFonts w:cs="Times New Roman"/>
                <w:b/>
                <w:sz w:val="20"/>
                <w:szCs w:val="20"/>
              </w:rPr>
              <w:t>Description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Paid Time Off (PTO)</w:t>
            </w:r>
          </w:p>
        </w:tc>
        <w:tc>
          <w:tcPr>
            <w:tcW w:w="7740" w:type="dxa"/>
            <w:vAlign w:val="center"/>
          </w:tcPr>
          <w:p w:rsidR="008B2D04" w:rsidRPr="00BA2AAC" w:rsidRDefault="00FF69C3" w:rsidP="00FF69C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="00E24CEB">
              <w:rPr>
                <w:rFonts w:cs="Times New Roman"/>
                <w:sz w:val="20"/>
                <w:szCs w:val="20"/>
              </w:rPr>
              <w:t>mployees earn up to 20</w:t>
            </w:r>
            <w:r w:rsidR="008B2D04" w:rsidRPr="00BA2AAC">
              <w:rPr>
                <w:rFonts w:cs="Times New Roman"/>
                <w:sz w:val="20"/>
                <w:szCs w:val="20"/>
              </w:rPr>
              <w:t xml:space="preserve"> days PTO annuall</w:t>
            </w:r>
            <w:r>
              <w:rPr>
                <w:rFonts w:cs="Times New Roman"/>
                <w:sz w:val="20"/>
                <w:szCs w:val="20"/>
              </w:rPr>
              <w:t>y (</w:t>
            </w:r>
            <w:r w:rsidR="00E24CEB">
              <w:rPr>
                <w:rFonts w:cs="Times New Roman"/>
                <w:sz w:val="20"/>
                <w:szCs w:val="20"/>
              </w:rPr>
              <w:t>6.67</w:t>
            </w:r>
            <w:r w:rsidR="00DF46DD">
              <w:rPr>
                <w:rFonts w:cs="Times New Roman"/>
                <w:sz w:val="20"/>
                <w:szCs w:val="20"/>
              </w:rPr>
              <w:t xml:space="preserve"> </w:t>
            </w:r>
            <w:r w:rsidR="008B2D04" w:rsidRPr="00BA2AAC">
              <w:rPr>
                <w:rFonts w:cs="Times New Roman"/>
                <w:sz w:val="20"/>
                <w:szCs w:val="20"/>
              </w:rPr>
              <w:t>h</w:t>
            </w:r>
            <w:r w:rsidR="00DF46DD">
              <w:rPr>
                <w:rFonts w:cs="Times New Roman"/>
                <w:sz w:val="20"/>
                <w:szCs w:val="20"/>
              </w:rPr>
              <w:t xml:space="preserve">ours </w:t>
            </w:r>
            <w:r w:rsidR="008B2D04" w:rsidRPr="00BA2AAC">
              <w:rPr>
                <w:rFonts w:cs="Times New Roman"/>
                <w:sz w:val="20"/>
                <w:szCs w:val="20"/>
              </w:rPr>
              <w:t>accrual semi-monthly</w:t>
            </w:r>
            <w:r w:rsidR="00DF46DD">
              <w:rPr>
                <w:rFonts w:cs="Times New Roman"/>
                <w:sz w:val="20"/>
                <w:szCs w:val="20"/>
              </w:rPr>
              <w:t>)</w:t>
            </w:r>
            <w:r>
              <w:rPr>
                <w:rFonts w:cs="Times New Roman"/>
                <w:sz w:val="20"/>
                <w:szCs w:val="20"/>
              </w:rPr>
              <w:t xml:space="preserve">.  </w:t>
            </w:r>
            <w:r w:rsidR="00BC3CC5">
              <w:rPr>
                <w:rFonts w:cs="Times New Roman"/>
                <w:sz w:val="20"/>
                <w:szCs w:val="20"/>
              </w:rPr>
              <w:t>Part-time employees pro-rated.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Federal Holidays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FF69C3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The following holidays will be observed annually:  New Year's Day, Martin Luther King J</w:t>
            </w:r>
            <w:r w:rsidR="00FF69C3">
              <w:rPr>
                <w:rFonts w:cs="Times New Roman"/>
                <w:sz w:val="20"/>
                <w:szCs w:val="20"/>
              </w:rPr>
              <w:t xml:space="preserve">r., </w:t>
            </w:r>
            <w:r w:rsidRPr="00BA2AAC">
              <w:rPr>
                <w:rFonts w:cs="Times New Roman"/>
                <w:sz w:val="20"/>
                <w:szCs w:val="20"/>
              </w:rPr>
              <w:t>Day, Presidents Day, Memorial Day, Independence Day, Labor Day, Columbus Day, Veterans Day, Thanksgiving Day, and Christmas Day.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Other Paid Leave</w:t>
            </w:r>
          </w:p>
        </w:tc>
        <w:tc>
          <w:tcPr>
            <w:tcW w:w="7740" w:type="dxa"/>
            <w:vAlign w:val="center"/>
          </w:tcPr>
          <w:p w:rsidR="008B2D04" w:rsidRPr="00FF69C3" w:rsidRDefault="008B2D04" w:rsidP="00BD7D93">
            <w:pPr>
              <w:rPr>
                <w:rFonts w:cs="Times New Roman"/>
                <w:sz w:val="20"/>
                <w:szCs w:val="20"/>
              </w:rPr>
            </w:pPr>
            <w:r w:rsidRPr="00FF69C3">
              <w:rPr>
                <w:rFonts w:cs="Times New Roman"/>
                <w:sz w:val="20"/>
                <w:szCs w:val="20"/>
              </w:rPr>
              <w:t>Employee’s Birthday, Jury Dut</w:t>
            </w:r>
            <w:r w:rsidR="00DF46DD" w:rsidRPr="00FF69C3">
              <w:rPr>
                <w:rFonts w:cs="Times New Roman"/>
                <w:sz w:val="20"/>
                <w:szCs w:val="20"/>
              </w:rPr>
              <w:t xml:space="preserve">y </w:t>
            </w:r>
            <w:r w:rsidRPr="00FF69C3">
              <w:rPr>
                <w:rFonts w:cs="Times New Roman"/>
                <w:sz w:val="20"/>
                <w:szCs w:val="20"/>
              </w:rPr>
              <w:t>(limit 1 day per year), Bereavemen</w:t>
            </w:r>
            <w:r w:rsidR="00DF46DD" w:rsidRPr="00FF69C3">
              <w:rPr>
                <w:rFonts w:cs="Times New Roman"/>
                <w:sz w:val="20"/>
                <w:szCs w:val="20"/>
              </w:rPr>
              <w:t xml:space="preserve">t (limit 3 days </w:t>
            </w:r>
            <w:r w:rsidR="00BD7D93">
              <w:rPr>
                <w:rFonts w:cs="Times New Roman"/>
                <w:sz w:val="20"/>
                <w:szCs w:val="20"/>
              </w:rPr>
              <w:t>for</w:t>
            </w:r>
            <w:r w:rsidR="00DF46DD" w:rsidRPr="00FF69C3">
              <w:rPr>
                <w:rFonts w:cs="Times New Roman"/>
                <w:sz w:val="20"/>
                <w:szCs w:val="20"/>
              </w:rPr>
              <w:t xml:space="preserve"> immediate family), </w:t>
            </w:r>
            <w:r w:rsidRPr="00FF69C3">
              <w:rPr>
                <w:rFonts w:cs="Times New Roman"/>
                <w:sz w:val="20"/>
                <w:szCs w:val="20"/>
              </w:rPr>
              <w:t>and Military Reserve Obligation</w:t>
            </w:r>
            <w:r w:rsidR="00DF46DD" w:rsidRPr="00FF69C3">
              <w:rPr>
                <w:rFonts w:cs="Times New Roman"/>
                <w:sz w:val="20"/>
                <w:szCs w:val="20"/>
              </w:rPr>
              <w:t xml:space="preserve">s </w:t>
            </w:r>
            <w:r w:rsidRPr="00FF69C3">
              <w:rPr>
                <w:rFonts w:cs="Times New Roman"/>
                <w:sz w:val="20"/>
                <w:szCs w:val="20"/>
              </w:rPr>
              <w:t>(differential for a maximum of 10 days).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Health Insurance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DE6AF7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3 Medical Plan Options for Health with Dental, Vision</w:t>
            </w:r>
            <w:r w:rsidR="00DF46DD">
              <w:rPr>
                <w:rFonts w:cs="Times New Roman"/>
                <w:sz w:val="20"/>
                <w:szCs w:val="20"/>
              </w:rPr>
              <w:t xml:space="preserve">, and </w:t>
            </w:r>
            <w:r w:rsidRPr="00BA2AAC">
              <w:rPr>
                <w:rFonts w:cs="Times New Roman"/>
                <w:sz w:val="20"/>
                <w:szCs w:val="20"/>
              </w:rPr>
              <w:t>Prescription Drug to include a Tax Deferred HMO HSA plan with company contribution</w:t>
            </w:r>
            <w:r w:rsidR="00DF46DD">
              <w:rPr>
                <w:rFonts w:cs="Times New Roman"/>
                <w:sz w:val="20"/>
                <w:szCs w:val="20"/>
              </w:rPr>
              <w:t>.  (</w:t>
            </w:r>
            <w:r w:rsidRPr="00BA2AAC">
              <w:rPr>
                <w:rFonts w:cs="Times New Roman"/>
                <w:sz w:val="20"/>
                <w:szCs w:val="20"/>
              </w:rPr>
              <w:t>See Health Care Plan for more details</w:t>
            </w:r>
            <w:r w:rsidR="00DF46DD">
              <w:rPr>
                <w:rFonts w:cs="Times New Roman"/>
                <w:sz w:val="20"/>
                <w:szCs w:val="20"/>
              </w:rPr>
              <w:t xml:space="preserve">).  </w:t>
            </w:r>
          </w:p>
          <w:p w:rsidR="008B2D04" w:rsidRPr="00BA2AAC" w:rsidRDefault="008B2D04" w:rsidP="00DE6AF7">
            <w:pPr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 xml:space="preserve">Company </w:t>
            </w:r>
            <w:r w:rsidR="00C352EB">
              <w:rPr>
                <w:rFonts w:cs="Times New Roman"/>
                <w:sz w:val="20"/>
                <w:szCs w:val="20"/>
              </w:rPr>
              <w:t>pays insurance premiums up to 60</w:t>
            </w:r>
            <w:r w:rsidRPr="00BA2AAC">
              <w:rPr>
                <w:rFonts w:cs="Times New Roman"/>
                <w:sz w:val="20"/>
                <w:szCs w:val="20"/>
              </w:rPr>
              <w:t>% for self and 50% for family</w:t>
            </w:r>
          </w:p>
          <w:p w:rsidR="008B2D04" w:rsidRPr="00BA2AAC" w:rsidRDefault="008B2D04" w:rsidP="00DF46DD">
            <w:pPr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Must be a 30 hour or more per week employee</w:t>
            </w:r>
          </w:p>
        </w:tc>
      </w:tr>
      <w:tr w:rsidR="0066788F" w:rsidRPr="00BA2AAC" w:rsidTr="005D7A17">
        <w:tc>
          <w:tcPr>
            <w:tcW w:w="3420" w:type="dxa"/>
            <w:vAlign w:val="center"/>
          </w:tcPr>
          <w:p w:rsidR="0066788F" w:rsidRPr="00BA2AAC" w:rsidRDefault="0066788F" w:rsidP="00F50B81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A</w:t>
            </w:r>
            <w:r w:rsidR="00F50B81">
              <w:rPr>
                <w:rFonts w:cs="Times New Roman"/>
                <w:bCs/>
                <w:sz w:val="20"/>
                <w:szCs w:val="20"/>
              </w:rPr>
              <w:t>flac</w:t>
            </w:r>
            <w:r>
              <w:rPr>
                <w:rFonts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40" w:type="dxa"/>
            <w:vAlign w:val="center"/>
          </w:tcPr>
          <w:p w:rsidR="0066788F" w:rsidRPr="00BA2AAC" w:rsidRDefault="00044EBC" w:rsidP="00065A32">
            <w:pPr>
              <w:rPr>
                <w:rFonts w:cs="Times New Roman"/>
                <w:sz w:val="20"/>
                <w:szCs w:val="20"/>
              </w:rPr>
            </w:pPr>
            <w:r>
              <w:rPr>
                <w:lang w:val="en"/>
              </w:rPr>
              <w:t>With Aflac supplemental insurance, you can provide an additional level of financial protection for yourself and your family in the event of a serious accident or illness.</w:t>
            </w:r>
            <w:r w:rsidR="00560093">
              <w:t xml:space="preserve"> A</w:t>
            </w:r>
            <w:r w:rsidR="00065A32">
              <w:t>flac</w:t>
            </w:r>
            <w:r w:rsidR="00560093">
              <w:t xml:space="preserve"> has multiple polices available most offered at a pre-tax </w:t>
            </w:r>
            <w:r w:rsidR="00114A8F">
              <w:t>premium. The</w:t>
            </w:r>
            <w:r w:rsidR="00560093">
              <w:t xml:space="preserve"> Whole and Term Life Insurance is offered; those premium deductions would be on an after tax basis.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5D7A17" w:rsidRDefault="008B2D04" w:rsidP="00DE6AF7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5D7A17">
              <w:rPr>
                <w:rFonts w:cs="Times New Roman"/>
                <w:b/>
                <w:sz w:val="20"/>
                <w:szCs w:val="20"/>
              </w:rPr>
              <w:t>NO COST to Employee</w:t>
            </w:r>
          </w:p>
          <w:p w:rsidR="005D7A17" w:rsidRDefault="008B2D04" w:rsidP="00FF69C3">
            <w:pPr>
              <w:jc w:val="center"/>
              <w:rPr>
                <w:rFonts w:cs="Times New Roman"/>
                <w:bCs/>
                <w:color w:val="000000" w:themeColor="text1"/>
                <w:sz w:val="20"/>
                <w:szCs w:val="20"/>
              </w:rPr>
            </w:pPr>
            <w:r w:rsidRPr="00FF69C3">
              <w:rPr>
                <w:rFonts w:cs="Times New Roman"/>
                <w:bCs/>
                <w:sz w:val="20"/>
                <w:szCs w:val="20"/>
              </w:rPr>
              <w:t>Supplemental Life Insuranc</w:t>
            </w:r>
            <w:r w:rsidR="00FF69C3">
              <w:rPr>
                <w:rFonts w:cs="Times New Roman"/>
                <w:bCs/>
                <w:sz w:val="20"/>
                <w:szCs w:val="20"/>
              </w:rPr>
              <w:t xml:space="preserve">e, </w:t>
            </w:r>
            <w:r w:rsidRPr="00FF69C3">
              <w:rPr>
                <w:rFonts w:cs="Times New Roman"/>
                <w:bCs/>
                <w:color w:val="000000" w:themeColor="text1"/>
                <w:sz w:val="20"/>
                <w:szCs w:val="20"/>
              </w:rPr>
              <w:t>Short and Long Term Disability</w:t>
            </w:r>
            <w:r w:rsidR="00FF69C3">
              <w:rPr>
                <w:rFonts w:cs="Times New Roman"/>
                <w:bCs/>
                <w:color w:val="000000" w:themeColor="text1"/>
                <w:sz w:val="20"/>
                <w:szCs w:val="20"/>
              </w:rPr>
              <w:t xml:space="preserve">, and </w:t>
            </w:r>
          </w:p>
          <w:p w:rsidR="008B2D04" w:rsidRPr="00BA2AAC" w:rsidRDefault="00FF69C3" w:rsidP="00FF69C3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FF69C3">
              <w:rPr>
                <w:rFonts w:cs="Times New Roman"/>
                <w:bCs/>
                <w:color w:val="000000" w:themeColor="text1"/>
                <w:spacing w:val="-3"/>
              </w:rPr>
              <w:t>E</w:t>
            </w:r>
            <w:r w:rsidR="008B2D04" w:rsidRPr="00FF69C3">
              <w:rPr>
                <w:rFonts w:cs="Times New Roman"/>
                <w:color w:val="000000" w:themeColor="text1"/>
                <w:spacing w:val="-3"/>
                <w:sz w:val="20"/>
                <w:szCs w:val="20"/>
              </w:rPr>
              <w:t xml:space="preserve">mployee </w:t>
            </w:r>
            <w:r w:rsidR="008B2D04" w:rsidRPr="00FF69C3">
              <w:rPr>
                <w:rFonts w:cs="Times New Roman"/>
                <w:bCs/>
                <w:color w:val="000000" w:themeColor="text1"/>
                <w:spacing w:val="-3"/>
              </w:rPr>
              <w:t>A</w:t>
            </w:r>
            <w:r w:rsidR="008B2D04" w:rsidRPr="00FF69C3">
              <w:rPr>
                <w:rFonts w:cs="Times New Roman"/>
                <w:color w:val="000000" w:themeColor="text1"/>
                <w:spacing w:val="-3"/>
                <w:sz w:val="20"/>
                <w:szCs w:val="20"/>
              </w:rPr>
              <w:t xml:space="preserve">ssistance </w:t>
            </w:r>
            <w:r w:rsidR="008B2D04" w:rsidRPr="00FF69C3">
              <w:rPr>
                <w:rFonts w:cs="Times New Roman"/>
                <w:bCs/>
                <w:color w:val="000000" w:themeColor="text1"/>
                <w:spacing w:val="-3"/>
              </w:rPr>
              <w:t>P</w:t>
            </w:r>
            <w:r w:rsidR="008B2D04" w:rsidRPr="00FF69C3">
              <w:rPr>
                <w:rFonts w:cs="Times New Roman"/>
                <w:color w:val="000000" w:themeColor="text1"/>
                <w:spacing w:val="-3"/>
                <w:sz w:val="20"/>
                <w:szCs w:val="20"/>
              </w:rPr>
              <w:t>rogram</w:t>
            </w:r>
            <w:r>
              <w:rPr>
                <w:rFonts w:cs="Times New Roman"/>
                <w:color w:val="000000" w:themeColor="text1"/>
                <w:spacing w:val="-3"/>
                <w:sz w:val="20"/>
                <w:szCs w:val="20"/>
              </w:rPr>
              <w:t xml:space="preserve"> (EAP)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FF69C3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 xml:space="preserve">Company </w:t>
            </w:r>
            <w:r w:rsidR="00FF69C3">
              <w:rPr>
                <w:rFonts w:cs="Times New Roman"/>
                <w:sz w:val="20"/>
                <w:szCs w:val="20"/>
              </w:rPr>
              <w:t>p</w:t>
            </w:r>
            <w:r w:rsidRPr="00BA2AAC">
              <w:rPr>
                <w:rFonts w:cs="Times New Roman"/>
                <w:sz w:val="20"/>
                <w:szCs w:val="20"/>
              </w:rPr>
              <w:t>ai</w:t>
            </w:r>
            <w:r w:rsidR="00DF46DD">
              <w:rPr>
                <w:rFonts w:cs="Times New Roman"/>
                <w:sz w:val="20"/>
                <w:szCs w:val="20"/>
              </w:rPr>
              <w:t xml:space="preserve">d </w:t>
            </w:r>
            <w:r w:rsidR="00FF69C3">
              <w:rPr>
                <w:rFonts w:cs="Times New Roman"/>
                <w:sz w:val="20"/>
                <w:szCs w:val="20"/>
              </w:rPr>
              <w:t>l</w:t>
            </w:r>
            <w:r w:rsidRPr="00BA2AAC">
              <w:rPr>
                <w:rFonts w:cs="Times New Roman"/>
                <w:sz w:val="20"/>
                <w:szCs w:val="20"/>
              </w:rPr>
              <w:t>ife insurance covera</w:t>
            </w:r>
            <w:r w:rsidR="00DF46DD">
              <w:rPr>
                <w:rFonts w:cs="Times New Roman"/>
                <w:sz w:val="20"/>
                <w:szCs w:val="20"/>
              </w:rPr>
              <w:t xml:space="preserve">ge </w:t>
            </w:r>
            <w:r w:rsidRPr="00BA2AAC">
              <w:rPr>
                <w:rFonts w:cs="Times New Roman"/>
                <w:sz w:val="20"/>
                <w:szCs w:val="20"/>
              </w:rPr>
              <w:t>includes short-term disability, long-term disability, and supplemental life insurance</w:t>
            </w:r>
            <w:r w:rsidR="00FF69C3">
              <w:rPr>
                <w:rFonts w:cs="Times New Roman"/>
                <w:sz w:val="20"/>
                <w:szCs w:val="20"/>
              </w:rPr>
              <w:t>.  EAP - E</w:t>
            </w:r>
            <w:r w:rsidRPr="00BA2AAC">
              <w:rPr>
                <w:rFonts w:cs="Times New Roman"/>
                <w:sz w:val="20"/>
                <w:szCs w:val="20"/>
              </w:rPr>
              <w:t xml:space="preserve">mployee </w:t>
            </w:r>
            <w:r w:rsidR="00FF69C3">
              <w:rPr>
                <w:rFonts w:cs="Times New Roman"/>
                <w:sz w:val="20"/>
                <w:szCs w:val="20"/>
              </w:rPr>
              <w:t>A</w:t>
            </w:r>
            <w:r w:rsidRPr="00BA2AAC">
              <w:rPr>
                <w:rFonts w:cs="Times New Roman"/>
                <w:sz w:val="20"/>
                <w:szCs w:val="20"/>
              </w:rPr>
              <w:t>ssistance</w:t>
            </w:r>
            <w:r w:rsidR="00DF46DD">
              <w:rPr>
                <w:rFonts w:cs="Times New Roman"/>
                <w:sz w:val="20"/>
                <w:szCs w:val="20"/>
              </w:rPr>
              <w:t xml:space="preserve"> </w:t>
            </w:r>
            <w:r w:rsidR="00FF69C3">
              <w:rPr>
                <w:rFonts w:cs="Times New Roman"/>
                <w:sz w:val="20"/>
                <w:szCs w:val="20"/>
              </w:rPr>
              <w:t>P</w:t>
            </w:r>
            <w:r w:rsidR="00DF46DD">
              <w:rPr>
                <w:rFonts w:cs="Times New Roman"/>
                <w:sz w:val="20"/>
                <w:szCs w:val="20"/>
              </w:rPr>
              <w:t>rogram</w:t>
            </w:r>
            <w:r w:rsidR="00FF69C3">
              <w:rPr>
                <w:rFonts w:cs="Times New Roman"/>
                <w:sz w:val="20"/>
                <w:szCs w:val="20"/>
              </w:rPr>
              <w:t xml:space="preserve"> a</w:t>
            </w:r>
            <w:r w:rsidR="00DF46DD">
              <w:rPr>
                <w:rFonts w:cs="Times New Roman"/>
                <w:sz w:val="20"/>
                <w:szCs w:val="20"/>
              </w:rPr>
              <w:t>vailable to all Full</w:t>
            </w:r>
            <w:r w:rsidRPr="00BA2AAC">
              <w:rPr>
                <w:rFonts w:cs="Times New Roman"/>
                <w:sz w:val="20"/>
                <w:szCs w:val="20"/>
              </w:rPr>
              <w:t>/Part-Tim</w:t>
            </w:r>
            <w:r w:rsidR="00FF69C3">
              <w:rPr>
                <w:rFonts w:cs="Times New Roman"/>
                <w:sz w:val="20"/>
                <w:szCs w:val="20"/>
              </w:rPr>
              <w:t>e e</w:t>
            </w:r>
            <w:r w:rsidRPr="00BA2AAC">
              <w:rPr>
                <w:rFonts w:cs="Times New Roman"/>
                <w:sz w:val="20"/>
                <w:szCs w:val="20"/>
              </w:rPr>
              <w:t>mployees.</w:t>
            </w:r>
            <w:r w:rsidR="009003DE">
              <w:rPr>
                <w:rFonts w:cs="Times New Roman"/>
                <w:sz w:val="20"/>
                <w:szCs w:val="20"/>
              </w:rPr>
              <w:t xml:space="preserve">  24 Hour Travel Assistant/Emergency Services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Employee Referral</w:t>
            </w:r>
          </w:p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Program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6D5D84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 xml:space="preserve">Referral Bonuses </w:t>
            </w:r>
            <w:r w:rsidR="006D5D84">
              <w:rPr>
                <w:rFonts w:cs="Times New Roman"/>
                <w:sz w:val="20"/>
                <w:szCs w:val="20"/>
              </w:rPr>
              <w:t xml:space="preserve">of </w:t>
            </w:r>
            <w:r w:rsidR="006D5D84" w:rsidRPr="00BA2AAC">
              <w:rPr>
                <w:rFonts w:cs="Times New Roman"/>
                <w:sz w:val="20"/>
                <w:szCs w:val="20"/>
              </w:rPr>
              <w:t>$1,</w:t>
            </w:r>
            <w:r w:rsidR="006D5D84">
              <w:rPr>
                <w:rFonts w:cs="Times New Roman"/>
                <w:sz w:val="20"/>
                <w:szCs w:val="20"/>
              </w:rPr>
              <w:t>5</w:t>
            </w:r>
            <w:r w:rsidR="006D5D84" w:rsidRPr="00BA2AAC">
              <w:rPr>
                <w:rFonts w:cs="Times New Roman"/>
                <w:sz w:val="20"/>
                <w:szCs w:val="20"/>
              </w:rPr>
              <w:t>0</w:t>
            </w:r>
            <w:r w:rsidR="006D5D84">
              <w:rPr>
                <w:rFonts w:cs="Times New Roman"/>
                <w:sz w:val="20"/>
                <w:szCs w:val="20"/>
              </w:rPr>
              <w:t xml:space="preserve">0 per referral </w:t>
            </w:r>
            <w:r w:rsidRPr="00BA2AAC">
              <w:rPr>
                <w:rFonts w:cs="Times New Roman"/>
                <w:sz w:val="20"/>
                <w:szCs w:val="20"/>
              </w:rPr>
              <w:t xml:space="preserve">will be provided upon 3 months of successful employment of </w:t>
            </w:r>
            <w:r w:rsidR="00DF46DD">
              <w:rPr>
                <w:rFonts w:cs="Times New Roman"/>
                <w:sz w:val="20"/>
                <w:szCs w:val="20"/>
              </w:rPr>
              <w:t xml:space="preserve">a </w:t>
            </w:r>
            <w:r w:rsidRPr="00BA2AAC">
              <w:rPr>
                <w:rFonts w:cs="Times New Roman"/>
                <w:sz w:val="20"/>
                <w:szCs w:val="20"/>
              </w:rPr>
              <w:t xml:space="preserve">referred candidate.  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Educational Assistance</w:t>
            </w:r>
          </w:p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Accredited Courses Only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5D7A17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$3</w:t>
            </w:r>
            <w:r w:rsidR="00DF46DD">
              <w:rPr>
                <w:rFonts w:cs="Times New Roman"/>
                <w:sz w:val="20"/>
                <w:szCs w:val="20"/>
              </w:rPr>
              <w:t>,</w:t>
            </w:r>
            <w:r w:rsidRPr="00BA2AAC">
              <w:rPr>
                <w:rFonts w:cs="Times New Roman"/>
                <w:sz w:val="20"/>
                <w:szCs w:val="20"/>
              </w:rPr>
              <w:t>000</w:t>
            </w:r>
            <w:r w:rsidR="005D7A17">
              <w:rPr>
                <w:rFonts w:cs="Times New Roman"/>
                <w:sz w:val="20"/>
                <w:szCs w:val="20"/>
              </w:rPr>
              <w:t xml:space="preserve"> </w:t>
            </w:r>
            <w:r w:rsidRPr="00BA2AAC">
              <w:rPr>
                <w:rFonts w:cs="Times New Roman"/>
                <w:sz w:val="20"/>
                <w:szCs w:val="20"/>
              </w:rPr>
              <w:t xml:space="preserve">per year for successful completion of college courses AND </w:t>
            </w:r>
            <w:r w:rsidR="00DF46DD">
              <w:rPr>
                <w:rFonts w:cs="Times New Roman"/>
                <w:sz w:val="20"/>
                <w:szCs w:val="20"/>
              </w:rPr>
              <w:t>u</w:t>
            </w:r>
            <w:r w:rsidRPr="00BA2AAC">
              <w:rPr>
                <w:rFonts w:cs="Times New Roman"/>
                <w:sz w:val="20"/>
                <w:szCs w:val="20"/>
              </w:rPr>
              <w:t>p to $5</w:t>
            </w:r>
            <w:r w:rsidR="00DF46DD">
              <w:rPr>
                <w:rFonts w:cs="Times New Roman"/>
                <w:sz w:val="20"/>
                <w:szCs w:val="20"/>
              </w:rPr>
              <w:t>,</w:t>
            </w:r>
            <w:r w:rsidRPr="00BA2AAC">
              <w:rPr>
                <w:rFonts w:cs="Times New Roman"/>
                <w:sz w:val="20"/>
                <w:szCs w:val="20"/>
              </w:rPr>
              <w:t>500</w:t>
            </w:r>
            <w:r w:rsidR="005D7A17">
              <w:rPr>
                <w:rFonts w:cs="Times New Roman"/>
                <w:sz w:val="20"/>
                <w:szCs w:val="20"/>
              </w:rPr>
              <w:t xml:space="preserve"> </w:t>
            </w:r>
            <w:r w:rsidRPr="00BA2AAC">
              <w:rPr>
                <w:rFonts w:cs="Times New Roman"/>
                <w:sz w:val="20"/>
                <w:szCs w:val="20"/>
              </w:rPr>
              <w:t>with commitment.  Payable upon successful completio</w:t>
            </w:r>
            <w:r w:rsidR="005D7A17">
              <w:rPr>
                <w:rFonts w:cs="Times New Roman"/>
                <w:sz w:val="20"/>
                <w:szCs w:val="20"/>
              </w:rPr>
              <w:t xml:space="preserve">n </w:t>
            </w:r>
            <w:r w:rsidRPr="00BA2AAC">
              <w:rPr>
                <w:rFonts w:cs="Times New Roman"/>
                <w:sz w:val="20"/>
                <w:szCs w:val="20"/>
              </w:rPr>
              <w:t>with a B or higher.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5D7A17" w:rsidRDefault="008B2D04" w:rsidP="00DE6AF7">
            <w:pPr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 w:rsidRPr="005D7A17">
              <w:rPr>
                <w:rFonts w:cs="Times New Roman"/>
                <w:b/>
                <w:bCs/>
                <w:i/>
                <w:sz w:val="20"/>
                <w:szCs w:val="20"/>
              </w:rPr>
              <w:t>And</w:t>
            </w:r>
          </w:p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</w:p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Professional</w:t>
            </w:r>
          </w:p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Training Assistance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DE6AF7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$3</w:t>
            </w:r>
            <w:r w:rsidR="00DF46DD">
              <w:rPr>
                <w:rFonts w:cs="Times New Roman"/>
                <w:sz w:val="20"/>
                <w:szCs w:val="20"/>
              </w:rPr>
              <w:t>,</w:t>
            </w:r>
            <w:r w:rsidRPr="00BA2AAC">
              <w:rPr>
                <w:rFonts w:cs="Times New Roman"/>
                <w:sz w:val="20"/>
                <w:szCs w:val="20"/>
              </w:rPr>
              <w:t>000</w:t>
            </w:r>
            <w:r w:rsidR="005D7A17">
              <w:rPr>
                <w:rFonts w:cs="Times New Roman"/>
                <w:sz w:val="20"/>
                <w:szCs w:val="20"/>
              </w:rPr>
              <w:t xml:space="preserve"> </w:t>
            </w:r>
            <w:r w:rsidRPr="00BA2AAC">
              <w:rPr>
                <w:rFonts w:cs="Times New Roman"/>
                <w:sz w:val="20"/>
                <w:szCs w:val="20"/>
              </w:rPr>
              <w:t>per year for successful completion of an industry certification or boot camp fee payable upon successful completion of passing certification test(s), or requirements. (Class, Materials and passing testing fee only)</w:t>
            </w:r>
          </w:p>
          <w:p w:rsidR="008B2D04" w:rsidRPr="00BA2AAC" w:rsidRDefault="008B2D04" w:rsidP="005D7A17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Can be used in pursuit of continuing education, such as technical seminar, industry conference or other professional development opportunity.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BA2AAC" w:rsidRDefault="008B2D04" w:rsidP="00DE6AF7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401K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DE6AF7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Company matches 100% of the employee contribution up to a 4% match.  Thereafter, the employee may participate up to the IRS maximum.  Employees are 100%</w:t>
            </w:r>
            <w:r w:rsidR="00DF46DD">
              <w:rPr>
                <w:rFonts w:cs="Times New Roman"/>
                <w:sz w:val="20"/>
                <w:szCs w:val="20"/>
              </w:rPr>
              <w:t xml:space="preserve"> </w:t>
            </w:r>
            <w:r w:rsidR="00E24CEB">
              <w:rPr>
                <w:rFonts w:cs="Times New Roman"/>
                <w:sz w:val="20"/>
                <w:szCs w:val="20"/>
              </w:rPr>
              <w:t xml:space="preserve">vested </w:t>
            </w:r>
            <w:r w:rsidR="00F4468F">
              <w:rPr>
                <w:rFonts w:cs="Times New Roman"/>
                <w:sz w:val="20"/>
                <w:szCs w:val="20"/>
              </w:rPr>
              <w:t>immediately upon employment.</w:t>
            </w:r>
          </w:p>
        </w:tc>
      </w:tr>
      <w:tr w:rsidR="008B2D04" w:rsidRPr="00BA2AAC" w:rsidTr="005D7A17">
        <w:tc>
          <w:tcPr>
            <w:tcW w:w="3420" w:type="dxa"/>
            <w:vAlign w:val="center"/>
          </w:tcPr>
          <w:p w:rsidR="008B2D04" w:rsidRPr="00BA2AAC" w:rsidRDefault="008B2D04" w:rsidP="00DF46DD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A2AAC">
              <w:rPr>
                <w:rFonts w:cs="Times New Roman"/>
                <w:bCs/>
                <w:sz w:val="20"/>
                <w:szCs w:val="20"/>
              </w:rPr>
              <w:t>Employee Equity Appreciation Plan</w:t>
            </w:r>
          </w:p>
        </w:tc>
        <w:tc>
          <w:tcPr>
            <w:tcW w:w="7740" w:type="dxa"/>
            <w:vAlign w:val="center"/>
          </w:tcPr>
          <w:p w:rsidR="008B2D04" w:rsidRPr="00BA2AAC" w:rsidRDefault="008B2D04" w:rsidP="005D7A17">
            <w:pPr>
              <w:rPr>
                <w:rFonts w:cs="Times New Roman"/>
                <w:sz w:val="20"/>
                <w:szCs w:val="20"/>
              </w:rPr>
            </w:pPr>
            <w:r w:rsidRPr="00BA2AAC">
              <w:rPr>
                <w:rFonts w:cs="Times New Roman"/>
                <w:sz w:val="20"/>
                <w:szCs w:val="20"/>
              </w:rPr>
              <w:t>This benef</w:t>
            </w:r>
            <w:r w:rsidR="00DF46DD">
              <w:rPr>
                <w:rFonts w:cs="Times New Roman"/>
                <w:sz w:val="20"/>
                <w:szCs w:val="20"/>
              </w:rPr>
              <w:t xml:space="preserve">it </w:t>
            </w:r>
            <w:r w:rsidRPr="00BA2AAC">
              <w:rPr>
                <w:rFonts w:cs="Times New Roman"/>
                <w:sz w:val="20"/>
                <w:szCs w:val="20"/>
              </w:rPr>
              <w:t xml:space="preserve">is an Equity Plan that awards employees who are responsible for the continued growth and prosperity of the </w:t>
            </w:r>
            <w:r w:rsidR="005D7A17">
              <w:rPr>
                <w:rFonts w:cs="Times New Roman"/>
                <w:sz w:val="20"/>
                <w:szCs w:val="20"/>
              </w:rPr>
              <w:t>c</w:t>
            </w:r>
            <w:r w:rsidRPr="00BA2AAC">
              <w:rPr>
                <w:rFonts w:cs="Times New Roman"/>
                <w:sz w:val="20"/>
                <w:szCs w:val="20"/>
              </w:rPr>
              <w:t xml:space="preserve">ompany. Beginning at time of hire, </w:t>
            </w:r>
            <w:r w:rsidR="005D7A17">
              <w:rPr>
                <w:rFonts w:cs="Times New Roman"/>
                <w:sz w:val="20"/>
                <w:szCs w:val="20"/>
              </w:rPr>
              <w:t>e</w:t>
            </w:r>
            <w:r w:rsidRPr="00BA2AAC">
              <w:rPr>
                <w:rFonts w:cs="Times New Roman"/>
                <w:sz w:val="20"/>
                <w:szCs w:val="20"/>
              </w:rPr>
              <w:t xml:space="preserve">mployees will receive, in addition to their regular compensation, Equity Units with the </w:t>
            </w:r>
            <w:r w:rsidR="005D7A17">
              <w:rPr>
                <w:rFonts w:cs="Times New Roman"/>
                <w:sz w:val="20"/>
                <w:szCs w:val="20"/>
              </w:rPr>
              <w:t>c</w:t>
            </w:r>
            <w:r w:rsidRPr="00BA2AAC">
              <w:rPr>
                <w:rFonts w:cs="Times New Roman"/>
                <w:sz w:val="20"/>
                <w:szCs w:val="20"/>
              </w:rPr>
              <w:t>ompan</w:t>
            </w:r>
            <w:r w:rsidR="00691EC3">
              <w:rPr>
                <w:rFonts w:cs="Times New Roman"/>
                <w:sz w:val="20"/>
                <w:szCs w:val="20"/>
              </w:rPr>
              <w:t xml:space="preserve">y and will acquire units </w:t>
            </w:r>
            <w:r w:rsidRPr="00BA2AAC">
              <w:rPr>
                <w:rFonts w:cs="Times New Roman"/>
                <w:sz w:val="20"/>
                <w:szCs w:val="20"/>
              </w:rPr>
              <w:t>annuall</w:t>
            </w:r>
            <w:r w:rsidR="00691EC3">
              <w:rPr>
                <w:rFonts w:cs="Times New Roman"/>
                <w:sz w:val="20"/>
                <w:szCs w:val="20"/>
              </w:rPr>
              <w:t xml:space="preserve">y or </w:t>
            </w:r>
            <w:r w:rsidRPr="00BA2AAC">
              <w:rPr>
                <w:rFonts w:cs="Times New Roman"/>
                <w:sz w:val="20"/>
                <w:szCs w:val="20"/>
              </w:rPr>
              <w:t xml:space="preserve">can be awarded </w:t>
            </w:r>
            <w:r w:rsidR="00691EC3">
              <w:rPr>
                <w:rFonts w:cs="Times New Roman"/>
                <w:sz w:val="20"/>
                <w:szCs w:val="20"/>
              </w:rPr>
              <w:t xml:space="preserve">additional units at </w:t>
            </w:r>
            <w:r w:rsidRPr="00BA2AAC">
              <w:rPr>
                <w:rFonts w:cs="Times New Roman"/>
                <w:sz w:val="20"/>
                <w:szCs w:val="20"/>
              </w:rPr>
              <w:t>any tim</w:t>
            </w:r>
            <w:r w:rsidR="00691EC3">
              <w:rPr>
                <w:rFonts w:cs="Times New Roman"/>
                <w:sz w:val="20"/>
                <w:szCs w:val="20"/>
              </w:rPr>
              <w:t xml:space="preserve">e </w:t>
            </w:r>
            <w:r w:rsidRPr="00BA2AAC">
              <w:rPr>
                <w:rFonts w:cs="Times New Roman"/>
                <w:sz w:val="20"/>
                <w:szCs w:val="20"/>
              </w:rPr>
              <w:t xml:space="preserve">at </w:t>
            </w:r>
            <w:r w:rsidR="00691EC3">
              <w:rPr>
                <w:rFonts w:cs="Times New Roman"/>
                <w:sz w:val="20"/>
                <w:szCs w:val="20"/>
              </w:rPr>
              <w:t xml:space="preserve">the </w:t>
            </w:r>
            <w:r w:rsidRPr="00BA2AAC">
              <w:rPr>
                <w:rFonts w:cs="Times New Roman"/>
                <w:sz w:val="20"/>
                <w:szCs w:val="20"/>
              </w:rPr>
              <w:t>discretion of company</w:t>
            </w:r>
            <w:r w:rsidR="00691EC3">
              <w:rPr>
                <w:rFonts w:cs="Times New Roman"/>
                <w:sz w:val="20"/>
                <w:szCs w:val="20"/>
              </w:rPr>
              <w:t xml:space="preserve">.  </w:t>
            </w:r>
            <w:r w:rsidRPr="00BA2AAC">
              <w:rPr>
                <w:rFonts w:cs="Times New Roman"/>
                <w:sz w:val="20"/>
                <w:szCs w:val="20"/>
              </w:rPr>
              <w:t>In the future, any proceeds on sale of company entitles employee to certain portions of net asset</w:t>
            </w:r>
            <w:r w:rsidR="00DE6AF7">
              <w:rPr>
                <w:rFonts w:cs="Times New Roman"/>
                <w:sz w:val="20"/>
                <w:szCs w:val="20"/>
              </w:rPr>
              <w:t xml:space="preserve">s.  </w:t>
            </w:r>
            <w:r w:rsidRPr="00BA2AAC">
              <w:rPr>
                <w:rFonts w:cs="Times New Roman"/>
                <w:sz w:val="20"/>
                <w:szCs w:val="20"/>
              </w:rPr>
              <w:t xml:space="preserve">(See </w:t>
            </w:r>
            <w:r w:rsidR="00DF46DD">
              <w:rPr>
                <w:rFonts w:cs="Times New Roman"/>
                <w:sz w:val="20"/>
                <w:szCs w:val="20"/>
              </w:rPr>
              <w:t xml:space="preserve">Equity Plan for more details).  </w:t>
            </w:r>
          </w:p>
        </w:tc>
      </w:tr>
      <w:tr w:rsidR="00BD7D93" w:rsidRPr="00BA2AAC" w:rsidTr="005D7A17">
        <w:tc>
          <w:tcPr>
            <w:tcW w:w="3420" w:type="dxa"/>
            <w:vAlign w:val="center"/>
          </w:tcPr>
          <w:p w:rsidR="00BD7D93" w:rsidRPr="00BA2AAC" w:rsidRDefault="005E696F" w:rsidP="00DF46DD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 xml:space="preserve">Clothing Allowance </w:t>
            </w:r>
          </w:p>
        </w:tc>
        <w:tc>
          <w:tcPr>
            <w:tcW w:w="7740" w:type="dxa"/>
            <w:vAlign w:val="center"/>
          </w:tcPr>
          <w:p w:rsidR="00BD7D93" w:rsidRPr="00BA2AAC" w:rsidRDefault="005E696F" w:rsidP="00E45A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Each employee is allotted $150.00 yearly clothing allowance to be used at </w:t>
            </w:r>
            <w:hyperlink r:id="rId9" w:history="1">
              <w:r w:rsidRPr="007A7CFA">
                <w:rPr>
                  <w:rStyle w:val="Hyperlink"/>
                  <w:rFonts w:cs="Times New Roman"/>
                  <w:sz w:val="20"/>
                  <w:szCs w:val="20"/>
                </w:rPr>
                <w:t>http://stores.corporatecasuals.com/s/IITC/</w:t>
              </w:r>
            </w:hyperlink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6254AA">
              <w:rPr>
                <w:rFonts w:cs="Times New Roman"/>
                <w:sz w:val="20"/>
                <w:szCs w:val="20"/>
              </w:rPr>
              <w:t xml:space="preserve">, if you do not have a company credit card please email </w:t>
            </w:r>
            <w:hyperlink r:id="rId10" w:history="1">
              <w:r w:rsidR="00E45A38" w:rsidRPr="009704D2">
                <w:rPr>
                  <w:rStyle w:val="Hyperlink"/>
                  <w:rFonts w:cs="Times New Roman"/>
                  <w:sz w:val="20"/>
                  <w:szCs w:val="20"/>
                </w:rPr>
                <w:t>iitcadmin@myiitc.com</w:t>
              </w:r>
            </w:hyperlink>
            <w:r w:rsidR="006254AA">
              <w:rPr>
                <w:rFonts w:cs="Times New Roman"/>
                <w:sz w:val="20"/>
                <w:szCs w:val="20"/>
              </w:rPr>
              <w:t xml:space="preserve"> with your order.</w:t>
            </w:r>
          </w:p>
        </w:tc>
      </w:tr>
    </w:tbl>
    <w:p w:rsidR="00911F82" w:rsidRPr="00BA2AAC" w:rsidRDefault="00B607BB" w:rsidP="008B2D04">
      <w:pPr>
        <w:spacing w:after="0"/>
        <w:jc w:val="center"/>
        <w:rPr>
          <w:sz w:val="20"/>
          <w:szCs w:val="20"/>
        </w:rPr>
      </w:pPr>
    </w:p>
    <w:p w:rsidR="00BA2AAC" w:rsidRPr="00BA2AAC" w:rsidRDefault="00BA2AAC" w:rsidP="00BA2AAC">
      <w:pPr>
        <w:spacing w:after="0"/>
        <w:rPr>
          <w:sz w:val="20"/>
          <w:szCs w:val="20"/>
        </w:rPr>
      </w:pPr>
      <w:r w:rsidRPr="00BA2AAC">
        <w:rPr>
          <w:sz w:val="20"/>
          <w:szCs w:val="20"/>
        </w:rPr>
        <w:t>*This summar</w:t>
      </w:r>
      <w:r w:rsidRPr="005D7A17">
        <w:rPr>
          <w:sz w:val="20"/>
          <w:szCs w:val="20"/>
        </w:rPr>
        <w:t>y is fo</w:t>
      </w:r>
      <w:r w:rsidR="005D7A17">
        <w:rPr>
          <w:sz w:val="20"/>
          <w:szCs w:val="20"/>
        </w:rPr>
        <w:t xml:space="preserve">r informational </w:t>
      </w:r>
      <w:r w:rsidRPr="00BA2AAC">
        <w:rPr>
          <w:sz w:val="20"/>
          <w:szCs w:val="20"/>
        </w:rPr>
        <w:t xml:space="preserve">purposes only and is not intended to create rights not given through a plan or to replace a plan contract.  </w:t>
      </w:r>
    </w:p>
    <w:sectPr w:rsidR="00BA2AAC" w:rsidRPr="00BA2AAC" w:rsidSect="005D7A17">
      <w:footerReference w:type="default" r:id="rId11"/>
      <w:pgSz w:w="12240" w:h="15840"/>
      <w:pgMar w:top="1080" w:right="720" w:bottom="108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D8D" w:rsidRDefault="00155D8D" w:rsidP="00BA2AAC">
      <w:pPr>
        <w:spacing w:after="0" w:line="240" w:lineRule="auto"/>
      </w:pPr>
      <w:r>
        <w:separator/>
      </w:r>
    </w:p>
  </w:endnote>
  <w:endnote w:type="continuationSeparator" w:id="0">
    <w:p w:rsidR="00155D8D" w:rsidRDefault="00155D8D" w:rsidP="00BA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97" w:rsidRPr="009122B5" w:rsidRDefault="00BA2AAC" w:rsidP="009122B5">
    <w:pPr>
      <w:pStyle w:val="Footer"/>
      <w:jc w:val="right"/>
      <w:rPr>
        <w:rStyle w:val="Hyperlink"/>
        <w:color w:val="auto"/>
        <w:sz w:val="16"/>
        <w:szCs w:val="16"/>
        <w:u w:val="none"/>
      </w:rPr>
    </w:pPr>
    <w:r w:rsidRPr="009F2397">
      <w:rPr>
        <w:sz w:val="16"/>
        <w:szCs w:val="16"/>
      </w:rPr>
      <w:t xml:space="preserve">Revised </w:t>
    </w:r>
    <w:r w:rsidR="008E5A7E">
      <w:rPr>
        <w:sz w:val="16"/>
        <w:szCs w:val="16"/>
      </w:rPr>
      <w:t>1</w:t>
    </w:r>
    <w:r w:rsidR="00D84265">
      <w:rPr>
        <w:sz w:val="16"/>
        <w:szCs w:val="16"/>
      </w:rPr>
      <w:t>0</w:t>
    </w:r>
    <w:r w:rsidRPr="009F2397">
      <w:rPr>
        <w:sz w:val="16"/>
        <w:szCs w:val="16"/>
      </w:rPr>
      <w:t>/</w:t>
    </w:r>
    <w:r w:rsidR="008E5A7E">
      <w:rPr>
        <w:sz w:val="16"/>
        <w:szCs w:val="16"/>
      </w:rPr>
      <w:t>01</w:t>
    </w:r>
    <w:r w:rsidRPr="009F2397">
      <w:rPr>
        <w:sz w:val="16"/>
        <w:szCs w:val="16"/>
      </w:rPr>
      <w:t>/20</w:t>
    </w:r>
    <w:r w:rsidR="008E5A7E">
      <w:rPr>
        <w:sz w:val="16"/>
        <w:szCs w:val="16"/>
      </w:rPr>
      <w:t>1</w:t>
    </w:r>
    <w:r w:rsidR="00D84265">
      <w:rPr>
        <w:sz w:val="16"/>
        <w:szCs w:val="16"/>
      </w:rPr>
      <w:t>6</w:t>
    </w:r>
  </w:p>
  <w:p w:rsidR="00E4534A" w:rsidRPr="00E4534A" w:rsidRDefault="00E4534A" w:rsidP="00BA2AAC">
    <w:pPr>
      <w:pStyle w:val="Footer"/>
      <w:jc w:val="right"/>
      <w:rPr>
        <w:sz w:val="16"/>
        <w:szCs w:val="16"/>
      </w:rPr>
    </w:pPr>
    <w:r w:rsidRPr="00E4534A">
      <w:rPr>
        <w:rStyle w:val="Hyperlink"/>
        <w:color w:val="auto"/>
        <w:sz w:val="16"/>
        <w:szCs w:val="16"/>
        <w:u w:val="none"/>
      </w:rPr>
      <w:t>Incorporated in Employee Handbook – Section 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D8D" w:rsidRDefault="00155D8D" w:rsidP="00BA2AAC">
      <w:pPr>
        <w:spacing w:after="0" w:line="240" w:lineRule="auto"/>
      </w:pPr>
      <w:r>
        <w:separator/>
      </w:r>
    </w:p>
  </w:footnote>
  <w:footnote w:type="continuationSeparator" w:id="0">
    <w:p w:rsidR="00155D8D" w:rsidRDefault="00155D8D" w:rsidP="00BA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26CF0"/>
    <w:multiLevelType w:val="hybridMultilevel"/>
    <w:tmpl w:val="F31C2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04"/>
    <w:rsid w:val="00044EBC"/>
    <w:rsid w:val="00065A32"/>
    <w:rsid w:val="000F38A1"/>
    <w:rsid w:val="00114A8F"/>
    <w:rsid w:val="00155D8D"/>
    <w:rsid w:val="001E76E6"/>
    <w:rsid w:val="003614D6"/>
    <w:rsid w:val="003D68AF"/>
    <w:rsid w:val="004A508B"/>
    <w:rsid w:val="004F09C8"/>
    <w:rsid w:val="00560093"/>
    <w:rsid w:val="005D7A17"/>
    <w:rsid w:val="005E696F"/>
    <w:rsid w:val="006254AA"/>
    <w:rsid w:val="00643FCA"/>
    <w:rsid w:val="0066788F"/>
    <w:rsid w:val="00691EC3"/>
    <w:rsid w:val="006D5D84"/>
    <w:rsid w:val="007A5B67"/>
    <w:rsid w:val="00892DC3"/>
    <w:rsid w:val="008B2D04"/>
    <w:rsid w:val="008E5A7E"/>
    <w:rsid w:val="009003DE"/>
    <w:rsid w:val="009122B5"/>
    <w:rsid w:val="00961BFB"/>
    <w:rsid w:val="009F2397"/>
    <w:rsid w:val="00A60C35"/>
    <w:rsid w:val="00B607BB"/>
    <w:rsid w:val="00BA2AAC"/>
    <w:rsid w:val="00BC3CC5"/>
    <w:rsid w:val="00BD7D93"/>
    <w:rsid w:val="00C352EB"/>
    <w:rsid w:val="00D5089C"/>
    <w:rsid w:val="00D84265"/>
    <w:rsid w:val="00DE6AF7"/>
    <w:rsid w:val="00DF46DD"/>
    <w:rsid w:val="00E24CEB"/>
    <w:rsid w:val="00E4534A"/>
    <w:rsid w:val="00E45A38"/>
    <w:rsid w:val="00EC76A3"/>
    <w:rsid w:val="00F4468F"/>
    <w:rsid w:val="00F50B81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5BC3C8C-70A6-43C0-90FC-27B63167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8B2D04"/>
    <w:pPr>
      <w:spacing w:after="0" w:line="240" w:lineRule="auto"/>
      <w:jc w:val="center"/>
    </w:pPr>
    <w:rPr>
      <w:rFonts w:ascii="Britannic Bold" w:eastAsia="Times New Roman" w:hAnsi="Britannic Bold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8B2D04"/>
    <w:rPr>
      <w:rFonts w:ascii="Britannic Bold" w:eastAsia="Times New Roman" w:hAnsi="Britannic Bold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BA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AC"/>
  </w:style>
  <w:style w:type="paragraph" w:styleId="Footer">
    <w:name w:val="footer"/>
    <w:basedOn w:val="Normal"/>
    <w:link w:val="FooterChar"/>
    <w:uiPriority w:val="99"/>
    <w:unhideWhenUsed/>
    <w:rsid w:val="00BA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AAC"/>
  </w:style>
  <w:style w:type="character" w:styleId="Hyperlink">
    <w:name w:val="Hyperlink"/>
    <w:basedOn w:val="DefaultParagraphFont"/>
    <w:uiPriority w:val="99"/>
    <w:unhideWhenUsed/>
    <w:rsid w:val="009F23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itcadmin@myiit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ores.corporatecasuals.com/s/II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190C-1FCC-4D7C-8302-A071B2D6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Pinder</dc:creator>
  <cp:lastModifiedBy>Micah Kleid</cp:lastModifiedBy>
  <cp:revision>2</cp:revision>
  <cp:lastPrinted>2015-01-23T18:13:00Z</cp:lastPrinted>
  <dcterms:created xsi:type="dcterms:W3CDTF">2016-10-28T14:58:00Z</dcterms:created>
  <dcterms:modified xsi:type="dcterms:W3CDTF">2016-10-28T14:58:00Z</dcterms:modified>
</cp:coreProperties>
</file>