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" w:line="30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2026년 제9차 금융소비자보호위원회 의사록</w:t>
      </w:r>
    </w:p>
    <w:p>
      <w:pPr>
        <w:spacing w:after="200" w:before="40" w:line="300"/>
        <w:jc w:val="center"/>
      </w:pPr>
      <w:r>
        <w:rPr>
          <w:rFonts w:ascii="맑은 고딕" w:cs="맑은 고딕" w:eastAsia="맑은 고딕" w:hAnsi="맑은 고딕"/>
          <w:color w:val="C00000"/>
          <w:sz w:val="18"/>
          <w:szCs w:val="18"/>
        </w:rPr>
        <w:t xml:space="preserve">[정답 예시 – 교육용 가상 자료]</w:t>
      </w:r>
    </w:p>
    <w:p>
      <w:pPr>
        <w:pStyle w:val="Heading2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 회의 개요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8"/>
        <w:gridCol w:w="7650"/>
      </w:tblGrid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회의일시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2026. 11. 20.(금) 14:00 ~ 14:25 (25분)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장    소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본사 대회의실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 원 장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한도윤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간    사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차민서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재적위원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7명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출석위원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6명 (출석률 85.7%) ※ 오세린 위원 14:16 이석, 이후 출석 5명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불참위원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1명 (진유나 위원)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정족수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충족 (출석 6명 &gt; 재적 7명의 과반 3.5명)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 출석 현황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1376"/>
        <w:gridCol w:w="2753"/>
        <w:gridCol w:w="1652"/>
        <w:gridCol w:w="2481"/>
      </w:tblGrid>
      <w:tr>
        <w:trPr>
          <w:tblHeader/>
        </w:trPr>
        <w:tc>
          <w:tcPr>
            <w:tcW w:type="dxa" w:w="13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13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성명</w:t>
            </w:r>
          </w:p>
        </w:tc>
        <w:tc>
          <w:tcPr>
            <w:tcW w:type="dxa" w:w="2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소속</w:t>
            </w:r>
          </w:p>
        </w:tc>
        <w:tc>
          <w:tcPr>
            <w:tcW w:type="dxa" w:w="16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직위</w:t>
            </w:r>
          </w:p>
        </w:tc>
        <w:tc>
          <w:tcPr>
            <w:tcW w:type="dxa" w:w="24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출석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위원장</w:t>
            </w:r>
          </w:p>
        </w:tc>
        <w:tc>
          <w:tcPr>
            <w:tcW w:type="dxa" w:w="13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한도윤</w:t>
            </w:r>
          </w:p>
        </w:tc>
        <w:tc>
          <w:tcPr>
            <w:tcW w:type="dxa" w:w="2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금융소비자보호본부</w:t>
            </w:r>
          </w:p>
        </w:tc>
        <w:tc>
          <w:tcPr>
            <w:tcW w:type="dxa" w:w="16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본부장</w:t>
            </w:r>
          </w:p>
        </w:tc>
        <w:tc>
          <w:tcPr>
            <w:tcW w:type="dxa" w:w="24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출석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위원</w:t>
            </w:r>
          </w:p>
        </w:tc>
        <w:tc>
          <w:tcPr>
            <w:tcW w:type="dxa" w:w="13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서지후</w:t>
            </w:r>
          </w:p>
        </w:tc>
        <w:tc>
          <w:tcPr>
            <w:tcW w:type="dxa" w:w="2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상품본부</w:t>
            </w:r>
          </w:p>
        </w:tc>
        <w:tc>
          <w:tcPr>
            <w:tcW w:type="dxa" w:w="16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본부장</w:t>
            </w:r>
          </w:p>
        </w:tc>
        <w:tc>
          <w:tcPr>
            <w:tcW w:type="dxa" w:w="24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출석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위원</w:t>
            </w:r>
          </w:p>
        </w:tc>
        <w:tc>
          <w:tcPr>
            <w:tcW w:type="dxa" w:w="13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남궁별</w:t>
            </w:r>
          </w:p>
        </w:tc>
        <w:tc>
          <w:tcPr>
            <w:tcW w:type="dxa" w:w="2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영업기획본부</w:t>
            </w:r>
          </w:p>
        </w:tc>
        <w:tc>
          <w:tcPr>
            <w:tcW w:type="dxa" w:w="16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본부장</w:t>
            </w:r>
          </w:p>
        </w:tc>
        <w:tc>
          <w:tcPr>
            <w:tcW w:type="dxa" w:w="24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출석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위원</w:t>
            </w:r>
          </w:p>
        </w:tc>
        <w:tc>
          <w:tcPr>
            <w:tcW w:type="dxa" w:w="13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오세린</w:t>
            </w:r>
          </w:p>
        </w:tc>
        <w:tc>
          <w:tcPr>
            <w:tcW w:type="dxa" w:w="2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GA사업본부</w:t>
            </w:r>
          </w:p>
        </w:tc>
        <w:tc>
          <w:tcPr>
            <w:tcW w:type="dxa" w:w="16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본부장</w:t>
            </w:r>
          </w:p>
        </w:tc>
        <w:tc>
          <w:tcPr>
            <w:tcW w:type="dxa" w:w="24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출석(14:16 이석)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위원</w:t>
            </w:r>
          </w:p>
        </w:tc>
        <w:tc>
          <w:tcPr>
            <w:tcW w:type="dxa" w:w="13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윤태경</w:t>
            </w:r>
          </w:p>
        </w:tc>
        <w:tc>
          <w:tcPr>
            <w:tcW w:type="dxa" w:w="2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계약관리본부</w:t>
            </w:r>
          </w:p>
        </w:tc>
        <w:tc>
          <w:tcPr>
            <w:tcW w:type="dxa" w:w="16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본부장</w:t>
            </w:r>
          </w:p>
        </w:tc>
        <w:tc>
          <w:tcPr>
            <w:tcW w:type="dxa" w:w="24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출석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위원</w:t>
            </w:r>
          </w:p>
        </w:tc>
        <w:tc>
          <w:tcPr>
            <w:tcW w:type="dxa" w:w="13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배하람</w:t>
            </w:r>
          </w:p>
        </w:tc>
        <w:tc>
          <w:tcPr>
            <w:tcW w:type="dxa" w:w="2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준법감시팀</w:t>
            </w:r>
          </w:p>
        </w:tc>
        <w:tc>
          <w:tcPr>
            <w:tcW w:type="dxa" w:w="16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준법감시인</w:t>
            </w:r>
          </w:p>
        </w:tc>
        <w:tc>
          <w:tcPr>
            <w:tcW w:type="dxa" w:w="24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출석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위원</w:t>
            </w:r>
          </w:p>
        </w:tc>
        <w:tc>
          <w:tcPr>
            <w:tcW w:type="dxa" w:w="13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진유나</w:t>
            </w:r>
          </w:p>
        </w:tc>
        <w:tc>
          <w:tcPr>
            <w:tcW w:type="dxa" w:w="2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보험금심사팀</w:t>
            </w:r>
          </w:p>
        </w:tc>
        <w:tc>
          <w:tcPr>
            <w:tcW w:type="dxa" w:w="16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팀장</w:t>
            </w:r>
          </w:p>
        </w:tc>
        <w:tc>
          <w:tcPr>
            <w:tcW w:type="dxa" w:w="24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불참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간사</w:t>
            </w:r>
          </w:p>
        </w:tc>
        <w:tc>
          <w:tcPr>
            <w:tcW w:type="dxa" w:w="13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차민서</w:t>
            </w:r>
          </w:p>
        </w:tc>
        <w:tc>
          <w:tcPr>
            <w:tcW w:type="dxa" w:w="2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소비자보호부</w:t>
            </w:r>
          </w:p>
        </w:tc>
        <w:tc>
          <w:tcPr>
            <w:tcW w:type="dxa" w:w="16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과장</w:t>
            </w:r>
          </w:p>
        </w:tc>
        <w:tc>
          <w:tcPr>
            <w:tcW w:type="dxa" w:w="24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출석(의결권 없음)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 안건 및 처리 결과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"/>
        <w:gridCol w:w="937"/>
        <w:gridCol w:w="4685"/>
        <w:gridCol w:w="2946"/>
      </w:tblGrid>
      <w:tr>
        <w:trPr>
          <w:tblHeader/>
        </w:trPr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9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46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안건명</w:t>
            </w:r>
          </w:p>
        </w:tc>
        <w:tc>
          <w:tcPr>
            <w:tcW w:type="dxa" w:w="29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처리 결과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제1호</w:t>
            </w:r>
          </w:p>
        </w:tc>
        <w:tc>
          <w:tcPr>
            <w:tcW w:type="dxa" w:w="9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보고</w:t>
            </w:r>
          </w:p>
        </w:tc>
        <w:tc>
          <w:tcPr>
            <w:tcW w:type="dxa" w:w="46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2026년 3분기 민원 현황 보고</w:t>
            </w:r>
          </w:p>
        </w:tc>
        <w:tc>
          <w:tcPr>
            <w:tcW w:type="dxa" w:w="29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보고 접수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제2호</w:t>
            </w:r>
          </w:p>
        </w:tc>
        <w:tc>
          <w:tcPr>
            <w:tcW w:type="dxa" w:w="9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보고</w:t>
            </w:r>
          </w:p>
        </w:tc>
        <w:tc>
          <w:tcPr>
            <w:tcW w:type="dxa" w:w="46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3분기 불완전판매 모니터링(해피콜) 결과 보고</w:t>
            </w:r>
          </w:p>
        </w:tc>
        <w:tc>
          <w:tcPr>
            <w:tcW w:type="dxa" w:w="29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보고 접수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제3호</w:t>
            </w:r>
          </w:p>
        </w:tc>
        <w:tc>
          <w:tcPr>
            <w:tcW w:type="dxa" w:w="9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의결</w:t>
            </w:r>
          </w:p>
        </w:tc>
        <w:tc>
          <w:tcPr>
            <w:tcW w:type="dxa" w:w="46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금융소비자보호 내부통제기준 일부 개정(안)</w:t>
            </w:r>
          </w:p>
        </w:tc>
        <w:tc>
          <w:tcPr>
            <w:tcW w:type="dxa" w:w="29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수정 조건부 가결 (출석 6명 전원 찬성)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제4호</w:t>
            </w:r>
          </w:p>
        </w:tc>
        <w:tc>
          <w:tcPr>
            <w:tcW w:type="dxa" w:w="9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의결</w:t>
            </w:r>
          </w:p>
        </w:tc>
        <w:tc>
          <w:tcPr>
            <w:tcW w:type="dxa" w:w="46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신상품 '(가칭) 든든케어 종신보험' 소비자보호 사전점검 결과 승인</w:t>
            </w:r>
          </w:p>
        </w:tc>
        <w:tc>
          <w:tcPr>
            <w:tcW w:type="dxa" w:w="29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 가결 (출석 5명 중 찬성 4명, 반대 1명)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 안건별 심의 내용</w:t>
      </w:r>
    </w:p>
    <w:p>
      <w:pPr>
        <w:spacing w:after="80" w:before="1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□ 제1호 [보고] 2026년 3분기 민원 현황 보고 (제안: 소비자보호부)</w:t>
      </w:r>
    </w:p>
    <w:p>
      <w:pPr>
        <w:spacing w:after="80" w:before="40" w:line="300"/>
        <w:ind w:left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가. 제안설명 요지</w:t>
      </w:r>
    </w:p>
    <w:p>
      <w:pPr>
        <w:spacing w:after="80" w:before="40" w:line="300"/>
        <w:ind w:left="600"/>
      </w:pPr>
      <w:r>
        <w:rPr>
          <w:rFonts w:ascii="맑은 고딕" w:cs="맑은 고딕" w:eastAsia="맑은 고딕" w:hAnsi="맑은 고딕"/>
          <w:sz w:val="20"/>
          <w:szCs w:val="20"/>
        </w:rPr>
        <w:t xml:space="preserve">3분기 접수 민원은 총 412건으로 전분기(449건) 대비 8.2% 감소함. 유형별 비중은 보험금 지급 46%, 불완전판매 21%, 계약 유지·관리 18%, 기타 15%이며, 보험금 지급 관련 민원 비중은 전분기 대비 5%p 증가함.</w:t>
      </w:r>
    </w:p>
    <w:p>
      <w:pPr>
        <w:spacing w:after="80" w:before="40" w:line="300"/>
        <w:ind w:left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나. 주요 질의 및 의견</w:t>
      </w:r>
    </w:p>
    <w:p>
      <w:pPr>
        <w:spacing w:after="80" w:before="40" w:line="300"/>
        <w:ind w:left="600"/>
      </w:pPr>
      <w:r>
        <w:rPr>
          <w:rFonts w:ascii="맑은 고딕" w:cs="맑은 고딕" w:eastAsia="맑은 고딕" w:hAnsi="맑은 고딕"/>
          <w:sz w:val="20"/>
          <w:szCs w:val="20"/>
        </w:rPr>
        <w:t xml:space="preserve">- 서지후 위원(질의): 보험금 지급 민원 비중 증가 원인과 특정 상품 집중 여부를 질의함.</w:t>
      </w:r>
    </w:p>
    <w:p>
      <w:pPr>
        <w:spacing w:after="80" w:before="40" w:line="300"/>
        <w:ind w:left="600"/>
      </w:pPr>
      <w:r>
        <w:rPr>
          <w:rFonts w:ascii="맑은 고딕" w:cs="맑은 고딕" w:eastAsia="맑은 고딕" w:hAnsi="맑은 고딕"/>
          <w:sz w:val="20"/>
          <w:szCs w:val="20"/>
        </w:rPr>
        <w:t xml:space="preserve">- 간사(답변): 상품별 세부 분석을 진행 중이며, 실손보험 관련 서류 보완 요청 건이 다수인 것으로 1차 파악됨.</w:t>
      </w:r>
    </w:p>
    <w:p>
      <w:pPr>
        <w:spacing w:after="80" w:before="40" w:line="300"/>
        <w:ind w:left="600"/>
      </w:pPr>
      <w:r>
        <w:rPr>
          <w:rFonts w:ascii="맑은 고딕" w:cs="맑은 고딕" w:eastAsia="맑은 고딕" w:hAnsi="맑은 고딕"/>
          <w:sz w:val="20"/>
          <w:szCs w:val="20"/>
        </w:rPr>
        <w:t xml:space="preserve">- 위원장(요청): 보험금 지급 민원 증가 원인 분석 결과를 차기 위원회에 보고하도록 요청함(불참한 보험금심사팀에 간사가 전달).</w:t>
      </w:r>
    </w:p>
    <w:p>
      <w:pPr>
        <w:spacing w:after="80" w:before="40" w:line="300"/>
        <w:ind w:left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다. 처리 결과: 보고 접수</w:t>
      </w:r>
    </w:p>
    <w:p>
      <w:pPr>
        <w:spacing w:after="80" w:before="1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□ 제2호 [보고] 3분기 불완전판매 모니터링(해피콜) 결과 보고 (제안: 계약관리본부)</w:t>
      </w:r>
    </w:p>
    <w:p>
      <w:pPr>
        <w:spacing w:after="80" w:before="40" w:line="300"/>
        <w:ind w:left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가. 제안설명 요지</w:t>
      </w:r>
    </w:p>
    <w:p>
      <w:pPr>
        <w:spacing w:after="80" w:before="40" w:line="300"/>
        <w:ind w:left="600"/>
      </w:pPr>
      <w:r>
        <w:rPr>
          <w:rFonts w:ascii="맑은 고딕" w:cs="맑은 고딕" w:eastAsia="맑은 고딕" w:hAnsi="맑은 고딕"/>
          <w:sz w:val="20"/>
          <w:szCs w:val="20"/>
        </w:rPr>
        <w:t xml:space="preserve">3분기 해피콜 대상 2,000건 중 1,936건을 완료함(미완료율 3.2%). 불완전판매 의심 건은 18건이며, 이 중 12건이 GA 채널에서 발생함.</w:t>
      </w:r>
    </w:p>
    <w:p>
      <w:pPr>
        <w:spacing w:after="80" w:before="40" w:line="300"/>
        <w:ind w:left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나. 주요 질의 및 의견</w:t>
      </w:r>
    </w:p>
    <w:p>
      <w:pPr>
        <w:spacing w:after="80" w:before="40" w:line="300"/>
        <w:ind w:left="600"/>
      </w:pPr>
      <w:r>
        <w:rPr>
          <w:rFonts w:ascii="맑은 고딕" w:cs="맑은 고딕" w:eastAsia="맑은 고딕" w:hAnsi="맑은 고딕"/>
          <w:sz w:val="20"/>
          <w:szCs w:val="20"/>
        </w:rPr>
        <w:t xml:space="preserve">- 오세린 위원(요청): 의심 건 관련 GA 대리점 명단 공유를 요청하고, 해당 대리점 교육을 즉시 진행하겠다는 의견을 밝힘.</w:t>
      </w:r>
    </w:p>
    <w:p>
      <w:pPr>
        <w:spacing w:after="80" w:before="40" w:line="300"/>
        <w:ind w:left="600"/>
      </w:pPr>
      <w:r>
        <w:rPr>
          <w:rFonts w:ascii="맑은 고딕" w:cs="맑은 고딕" w:eastAsia="맑은 고딕" w:hAnsi="맑은 고딕"/>
          <w:sz w:val="20"/>
          <w:szCs w:val="20"/>
        </w:rPr>
        <w:t xml:space="preserve">- 윤태경 위원(답변): 회의 후 GA사업본부에 대리점 명단을 별도 공유하겠다고 답변함.</w:t>
      </w:r>
    </w:p>
    <w:p>
      <w:pPr>
        <w:spacing w:after="80" w:before="40" w:line="300"/>
        <w:ind w:left="600"/>
      </w:pPr>
      <w:r>
        <w:rPr>
          <w:rFonts w:ascii="맑은 고딕" w:cs="맑은 고딕" w:eastAsia="맑은 고딕" w:hAnsi="맑은 고딕"/>
          <w:sz w:val="20"/>
          <w:szCs w:val="20"/>
        </w:rPr>
        <w:t xml:space="preserve">- 배하람 위원(의견): 의심 18건에 대해 고객 재확인 후 청약철회·계약 취소 안내가 적절히 이루어졌는지 준법감시 차원의 확인이 필요하다는 의견을 제시함.</w:t>
      </w:r>
    </w:p>
    <w:p>
      <w:pPr>
        <w:spacing w:after="80" w:before="40" w:line="300"/>
        <w:ind w:left="600"/>
      </w:pPr>
      <w:r>
        <w:rPr>
          <w:rFonts w:ascii="맑은 고딕" w:cs="맑은 고딕" w:eastAsia="맑은 고딕" w:hAnsi="맑은 고딕"/>
          <w:sz w:val="20"/>
          <w:szCs w:val="20"/>
        </w:rPr>
        <w:t xml:space="preserve">- 위원장(요청): 계약관리본부는 의심 18건의 고객 재확인 및 안내 결과를 정리하고, GA사업본부는 해당 대리점 교육을 12월 말까지 완료하도록 요청함.</w:t>
      </w:r>
    </w:p>
    <w:p>
      <w:pPr>
        <w:spacing w:after="80" w:before="40" w:line="300"/>
        <w:ind w:left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다. 처리 결과: 보고 접수</w:t>
      </w:r>
    </w:p>
    <w:p>
      <w:pPr>
        <w:spacing w:after="80" w:before="1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□ 제3호 [의결] 금융소비자보호 내부통제기준 일부 개정(안) (제안: 소비자보호부)</w:t>
      </w:r>
    </w:p>
    <w:p>
      <w:pPr>
        <w:spacing w:after="80" w:before="40" w:line="300"/>
        <w:ind w:left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가. 제안설명 요지</w:t>
      </w:r>
    </w:p>
    <w:p>
      <w:pPr>
        <w:spacing w:after="80" w:before="40" w:line="300"/>
        <w:ind w:left="6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고령 금융소비자 대상 판매 시 확인 절차 신설, ② 민원 처리 기한 단축(14일 → 10일), ③ 제12조 판매 모니터링 주기 변경(반기 → 분기)을 주요 내용으로 함.</w:t>
      </w:r>
    </w:p>
    <w:p>
      <w:pPr>
        <w:spacing w:after="80" w:before="40" w:line="300"/>
        <w:ind w:left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나. 주요 질의 및 의견</w:t>
      </w:r>
    </w:p>
    <w:p>
      <w:pPr>
        <w:spacing w:after="80" w:before="40" w:line="300"/>
        <w:ind w:left="600"/>
      </w:pPr>
      <w:r>
        <w:rPr>
          <w:rFonts w:ascii="맑은 고딕" w:cs="맑은 고딕" w:eastAsia="맑은 고딕" w:hAnsi="맑은 고딕"/>
          <w:sz w:val="20"/>
          <w:szCs w:val="20"/>
        </w:rPr>
        <w:t xml:space="preserve">- 배하람 위원(의견): 최근 감독 동향에 비추어 제12조 모니터링 주기는 월 단위가 적절하다는 의견을 제시함.</w:t>
      </w:r>
    </w:p>
    <w:p>
      <w:pPr>
        <w:spacing w:after="80" w:before="40" w:line="300"/>
        <w:ind w:left="600"/>
      </w:pPr>
      <w:r>
        <w:rPr>
          <w:rFonts w:ascii="맑은 고딕" w:cs="맑은 고딕" w:eastAsia="맑은 고딕" w:hAnsi="맑은 고딕"/>
          <w:sz w:val="20"/>
          <w:szCs w:val="20"/>
        </w:rPr>
        <w:t xml:space="preserve">- 남궁별 위원(의견): 월 단위 시행 시 현업 부담이 크므로 인력 계획을 함께 검토해야 한다는 의견을 제시함.</w:t>
      </w:r>
    </w:p>
    <w:p>
      <w:pPr>
        <w:spacing w:after="80" w:before="40" w:line="300"/>
        <w:ind w:left="600"/>
      </w:pPr>
      <w:r>
        <w:rPr>
          <w:rFonts w:ascii="맑은 고딕" w:cs="맑은 고딕" w:eastAsia="맑은 고딕" w:hAnsi="맑은 고딕"/>
          <w:sz w:val="20"/>
          <w:szCs w:val="20"/>
        </w:rPr>
        <w:t xml:space="preserve">- 배하람 위원(의견): 전수 점검 대신 표본 점검으로 운영하면 부담을 줄일 수 있다는 의견을 제시함.</w:t>
      </w:r>
    </w:p>
    <w:p>
      <w:pPr>
        <w:spacing w:after="80" w:before="40" w:line="300"/>
        <w:ind w:left="600"/>
      </w:pPr>
      <w:r>
        <w:rPr>
          <w:rFonts w:ascii="맑은 고딕" w:cs="맑은 고딕" w:eastAsia="맑은 고딕" w:hAnsi="맑은 고딕"/>
          <w:sz w:val="20"/>
          <w:szCs w:val="20"/>
        </w:rPr>
        <w:t xml:space="preserve">- 위원장(의견): 제12조를 '월 단위 표본 점검'으로 수정하는 조건으로 의결할 것을 제안함.</w:t>
      </w:r>
    </w:p>
    <w:p>
      <w:pPr>
        <w:spacing w:after="80" w:before="40" w:line="300"/>
        <w:ind w:left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다. 처리 결과: 수정 조건부 가결 (출석 6명 전원 찬성)</w:t>
      </w:r>
    </w:p>
    <w:p>
      <w:pPr>
        <w:spacing w:after="80" w:before="40" w:line="300"/>
        <w:ind w:left="600"/>
      </w:pPr>
      <w:r>
        <w:rPr>
          <w:rFonts w:ascii="맑은 고딕" w:cs="맑은 고딕" w:eastAsia="맑은 고딕" w:hAnsi="맑은 고딕"/>
          <w:sz w:val="20"/>
          <w:szCs w:val="20"/>
        </w:rPr>
        <w:t xml:space="preserve">조건: 제12조 판매 모니터링 주기를 '월 단위 표본 점검'으로 수정하여 시행함.</w:t>
      </w:r>
    </w:p>
    <w:p>
      <w:pPr>
        <w:spacing w:after="80" w:before="1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□ 제4호 [의결] 신상품 '(가칭) 든든케어 종신보험' 소비자보호 사전점검 결과 승인 (제안: 상품본부)</w:t>
      </w:r>
    </w:p>
    <w:p>
      <w:pPr>
        <w:spacing w:after="80" w:before="40" w:line="300"/>
        <w:ind w:left="300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※ 오세린 위원 이석(14:16)으로 표결 시점 출석위원은 5명이며, 의결 정족수는 충족됨.</w:t>
      </w:r>
    </w:p>
    <w:p>
      <w:pPr>
        <w:spacing w:after="80" w:before="40" w:line="300"/>
        <w:ind w:left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가. 제안설명 요지</w:t>
      </w:r>
    </w:p>
    <w:p>
      <w:pPr>
        <w:spacing w:after="80" w:before="40" w:line="300"/>
        <w:ind w:left="6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상품은 2027년 1월 출시 예정이며, 소비자보호 사전점검 지적사항 5건(해지환급금 예시표 가독성 개선 등)을 모두 반영 완료함.</w:t>
      </w:r>
    </w:p>
    <w:p>
      <w:pPr>
        <w:spacing w:after="80" w:before="40" w:line="300"/>
        <w:ind w:left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나. 주요 질의 및 의견</w:t>
      </w:r>
    </w:p>
    <w:p>
      <w:pPr>
        <w:spacing w:after="80" w:before="40" w:line="300"/>
        <w:ind w:left="600"/>
      </w:pPr>
      <w:r>
        <w:rPr>
          <w:rFonts w:ascii="맑은 고딕" w:cs="맑은 고딕" w:eastAsia="맑은 고딕" w:hAnsi="맑은 고딕"/>
          <w:sz w:val="20"/>
          <w:szCs w:val="20"/>
        </w:rPr>
        <w:t xml:space="preserve">- 배하람 위원(의견): 주요 판매 대상에 60세 이상 고객이 포함되어 있으나 고령자용 핵심설명서가 마련되지 않아, 보완 전에는 승인에 동의하기 어렵다는 의견을 제시함.</w:t>
      </w:r>
    </w:p>
    <w:p>
      <w:pPr>
        <w:spacing w:after="80" w:before="40" w:line="300"/>
        <w:ind w:left="600"/>
      </w:pPr>
      <w:r>
        <w:rPr>
          <w:rFonts w:ascii="맑은 고딕" w:cs="맑은 고딕" w:eastAsia="맑은 고딕" w:hAnsi="맑은 고딕"/>
          <w:sz w:val="20"/>
          <w:szCs w:val="20"/>
        </w:rPr>
        <w:t xml:space="preserve">- 서지후 위원(답변): 고령자용 핵심설명서를 출시 전까지 별도 제작하겠다고 답변함.</w:t>
      </w:r>
    </w:p>
    <w:p>
      <w:pPr>
        <w:spacing w:after="80" w:before="40" w:line="300"/>
        <w:ind w:left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다. 처리 결과: 원안 가결 (출석 5명 중 찬성 4명, 반대 1명)</w:t>
      </w:r>
    </w:p>
    <w:p>
      <w:pPr>
        <w:spacing w:after="80" w:before="40" w:line="300"/>
        <w:ind w:left="600"/>
      </w:pPr>
      <w:r>
        <w:rPr>
          <w:rFonts w:ascii="맑은 고딕" w:cs="맑은 고딕" w:eastAsia="맑은 고딕" w:hAnsi="맑은 고딕"/>
          <w:sz w:val="20"/>
          <w:szCs w:val="20"/>
        </w:rPr>
        <w:t xml:space="preserve">찬성: 한도윤, 서지후, 남궁별, 윤태경 / 반대: 배하람(사유: 고령자용 핵심설명서 미마련). 부대의견: 상품본부는 고령자용 핵심설명서를 2026. 12. 15.까지 마련하여 소비자보호부의 확인을 받을 것.</w:t>
      </w:r>
    </w:p>
    <w:p>
      <w:pPr>
        <w:pStyle w:val="Heading2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5. 후속조치 사항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3"/>
        <w:gridCol w:w="997"/>
        <w:gridCol w:w="3545"/>
        <w:gridCol w:w="1550"/>
        <w:gridCol w:w="1329"/>
        <w:gridCol w:w="1664"/>
      </w:tblGrid>
      <w:tr>
        <w:trPr>
          <w:tblHeader/>
        </w:trPr>
        <w:tc>
          <w:tcPr>
            <w:tcW w:type="dxa" w:w="5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9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관련 안건</w:t>
            </w:r>
          </w:p>
        </w:tc>
        <w:tc>
          <w:tcPr>
            <w:tcW w:type="dxa" w:w="35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조치 내용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담당 부서</w:t>
            </w:r>
          </w:p>
        </w:tc>
        <w:tc>
          <w:tcPr>
            <w:tcW w:type="dxa" w:w="13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기한</w:t>
            </w:r>
          </w:p>
        </w:tc>
        <w:tc>
          <w:tcPr>
            <w:tcW w:type="dxa" w:w="16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5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9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제1호</w:t>
            </w:r>
          </w:p>
        </w:tc>
        <w:tc>
          <w:tcPr>
            <w:tcW w:type="dxa" w:w="35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보험금 지급 민원 증가 원인 분석 결과 보고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보험금심사팀</w:t>
            </w:r>
          </w:p>
        </w:tc>
        <w:tc>
          <w:tcPr>
            <w:tcW w:type="dxa" w:w="13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차기(제10차) 위원회</w:t>
            </w:r>
          </w:p>
        </w:tc>
        <w:tc>
          <w:tcPr>
            <w:tcW w:type="dxa" w:w="16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불참 부서, 간사 전달</w:t>
            </w:r>
          </w:p>
        </w:tc>
      </w:tr>
      <w:tr>
        <w:trPr>
          <w:cantSplit/>
        </w:trPr>
        <w:tc>
          <w:tcPr>
            <w:tcW w:type="dxa" w:w="5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9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제2호</w:t>
            </w:r>
          </w:p>
        </w:tc>
        <w:tc>
          <w:tcPr>
            <w:tcW w:type="dxa" w:w="35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불완전판매 의심 18건 고객 재확인 및 안내 결과 정리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계약관리본부</w:t>
            </w:r>
          </w:p>
        </w:tc>
        <w:tc>
          <w:tcPr>
            <w:tcW w:type="dxa" w:w="13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미정</w:t>
            </w:r>
          </w:p>
        </w:tc>
        <w:tc>
          <w:tcPr>
            <w:tcW w:type="dxa" w:w="16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기한 확인 필요</w:t>
            </w:r>
          </w:p>
        </w:tc>
      </w:tr>
      <w:tr>
        <w:trPr>
          <w:cantSplit/>
        </w:trPr>
        <w:tc>
          <w:tcPr>
            <w:tcW w:type="dxa" w:w="5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9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제2호</w:t>
            </w:r>
          </w:p>
        </w:tc>
        <w:tc>
          <w:tcPr>
            <w:tcW w:type="dxa" w:w="35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의심 건 관련 GA 대리점 명단 공유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계약관리본부</w:t>
            </w:r>
          </w:p>
        </w:tc>
        <w:tc>
          <w:tcPr>
            <w:tcW w:type="dxa" w:w="13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미정(회의 후)</w:t>
            </w:r>
          </w:p>
        </w:tc>
        <w:tc>
          <w:tcPr>
            <w:tcW w:type="dxa" w:w="16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기한 확인 필요</w:t>
            </w:r>
          </w:p>
        </w:tc>
      </w:tr>
      <w:tr>
        <w:trPr>
          <w:cantSplit/>
        </w:trPr>
        <w:tc>
          <w:tcPr>
            <w:tcW w:type="dxa" w:w="5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9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제2호</w:t>
            </w:r>
          </w:p>
        </w:tc>
        <w:tc>
          <w:tcPr>
            <w:tcW w:type="dxa" w:w="35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해당 GA 대리점 대상 교육 실시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GA사업본부</w:t>
            </w:r>
          </w:p>
        </w:tc>
        <w:tc>
          <w:tcPr>
            <w:tcW w:type="dxa" w:w="13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2026-12-31</w:t>
            </w:r>
          </w:p>
        </w:tc>
        <w:tc>
          <w:tcPr>
            <w:tcW w:type="dxa" w:w="16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'12월 말' 환산</w:t>
            </w:r>
          </w:p>
        </w:tc>
      </w:tr>
      <w:tr>
        <w:trPr>
          <w:cantSplit/>
        </w:trPr>
        <w:tc>
          <w:tcPr>
            <w:tcW w:type="dxa" w:w="5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9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제3호</w:t>
            </w:r>
          </w:p>
        </w:tc>
        <w:tc>
          <w:tcPr>
            <w:tcW w:type="dxa" w:w="35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제12조 수정사항 반영 및 사내 공지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소비자보호부(간사)</w:t>
            </w:r>
          </w:p>
        </w:tc>
        <w:tc>
          <w:tcPr>
            <w:tcW w:type="dxa" w:w="13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2026-11-27</w:t>
            </w:r>
          </w:p>
        </w:tc>
        <w:tc>
          <w:tcPr>
            <w:tcW w:type="dxa" w:w="16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'다음 주 금요일' 환산</w:t>
            </w:r>
          </w:p>
        </w:tc>
      </w:tr>
      <w:tr>
        <w:trPr>
          <w:cantSplit/>
        </w:trPr>
        <w:tc>
          <w:tcPr>
            <w:tcW w:type="dxa" w:w="5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9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제4호</w:t>
            </w:r>
          </w:p>
        </w:tc>
        <w:tc>
          <w:tcPr>
            <w:tcW w:type="dxa" w:w="35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고령자용 핵심설명서 마련 및 소비자보호부 확인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상품본부</w:t>
            </w:r>
          </w:p>
        </w:tc>
        <w:tc>
          <w:tcPr>
            <w:tcW w:type="dxa" w:w="13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2026-12-15</w:t>
            </w:r>
          </w:p>
        </w:tc>
        <w:tc>
          <w:tcPr>
            <w:tcW w:type="dxa" w:w="16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80" w:before="2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위와 같이 의사록을 작성하고 위원장과 간사가 기명날인합니다.</w:t>
      </w:r>
    </w:p>
    <w:p>
      <w:pPr>
        <w:spacing w:after="200" w:before="200" w:line="300"/>
        <w:jc w:val="center"/>
      </w:pPr>
      <w:r>
        <w:rPr>
          <w:rFonts w:ascii="맑은 고딕" w:cs="맑은 고딕" w:eastAsia="맑은 고딕" w:hAnsi="맑은 고딕"/>
          <w:sz w:val="20"/>
          <w:szCs w:val="20"/>
        </w:rPr>
        <w:t xml:space="preserve">2026년 11월 20일</w:t>
      </w:r>
    </w:p>
    <w:p>
      <w:pPr>
        <w:spacing w:after="80" w:before="40" w:line="300"/>
        <w:jc w:val="right"/>
      </w:pPr>
      <w:r>
        <w:rPr>
          <w:rFonts w:ascii="맑은 고딕" w:cs="맑은 고딕" w:eastAsia="맑은 고딕" w:hAnsi="맑은 고딕"/>
          <w:sz w:val="20"/>
          <w:szCs w:val="20"/>
        </w:rPr>
        <w:t xml:space="preserve">위 원 장   한도윤   (인)</w:t>
      </w:r>
    </w:p>
    <w:p>
      <w:pPr>
        <w:spacing w:after="80" w:before="40" w:line="300"/>
        <w:jc w:val="right"/>
      </w:pPr>
      <w:r>
        <w:rPr>
          <w:rFonts w:ascii="맑은 고딕" w:cs="맑은 고딕" w:eastAsia="맑은 고딕" w:hAnsi="맑은 고딕"/>
          <w:sz w:val="20"/>
          <w:szCs w:val="20"/>
        </w:rPr>
        <w:t xml:space="preserve">간    사   차민서   (인)</w:t>
      </w:r>
    </w:p>
    <w:p>
      <w:pPr>
        <w:spacing w:after="80" w:before="300" w:line="300"/>
      </w:pPr>
      <w:r>
        <w:rPr>
          <w:rFonts w:ascii="맑은 고딕" w:cs="맑은 고딕" w:eastAsia="맑은 고딕" w:hAnsi="맑은 고딕"/>
          <w:color w:val="808080"/>
          <w:sz w:val="16"/>
          <w:szCs w:val="16"/>
        </w:rPr>
        <w:t xml:space="preserve">※ 본 문서는 AI 바이브코딩 교육용 가상 양식이며 실제 위원회·인물과 무관합니다.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  <w:lvl w:ilvl="1" w15:tentative="1">
      <w:start w:val="1"/>
      <w:numFmt w:val="bullet"/>
      <w:lvlText w:val="-"/>
      <w:lvlJc w:val="left"/>
      <w:pPr>
        <w:ind w:left="80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맑은 고딕" w:cs="맑은 고딕" w:eastAsia="맑은 고딕" w:hAnsi="맑은 고딕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맑은 고딕" w:cs="맑은 고딕" w:eastAsia="맑은 고딕" w:hAnsi="맑은 고딕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2026-10-12T06:39:14.877Z</dcterms:created>
  <dcterms:modified xsi:type="dcterms:W3CDTF">2026-10-12T06:39:14.888Z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