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Churn &amp; Segmentation Analysis</w:t>
      </w:r>
    </w:p>
    <w:p>
      <w:r>
        <w:t>Telco customer base - CRM retention analytics | Python, Orange Data Mining, Power BI</w:t>
      </w:r>
    </w:p>
    <w:p>
      <w:r>
        <w:t>Prepared by: Anurag Moyal</w:t>
      </w:r>
    </w:p>
    <w:p>
      <w:pPr>
        <w:pStyle w:val="Heading1"/>
      </w:pPr>
      <w:r>
        <w:t>1. Executive summary</w:t>
      </w:r>
    </w:p>
    <w:p>
      <w:pPr>
        <w:pStyle w:val="ListBullet"/>
      </w:pPr>
      <w:r>
        <w:t>26.5% of the 7,043 customers churned, taking $139,131 of $456,117 monthly revenue (30.5%) with them.</w:t>
      </w:r>
    </w:p>
    <w:p>
      <w:pPr>
        <w:pStyle w:val="ListBullet"/>
      </w:pPr>
      <w:r>
        <w:t>Segmentation (RFM-style, K-Means) found 2 high-risk segments - New Fiber Switchers, Mid-Tenure Fiber At-Risk - holding 43% of customers but 71% of churn and 76% of lost revenue.</w:t>
      </w:r>
    </w:p>
    <w:p>
      <w:pPr>
        <w:pStyle w:val="ListBullet"/>
      </w:pPr>
      <w:r>
        <w:t>A gradient-boosting model separates churners from stayers with AUC 0.85 (5-fold out-of-fold). The riskiest 20% of customers contain 51% of churners (lift 2.5x); the riskiest 30% contain 66%.</w:t>
      </w:r>
    </w:p>
    <w:p>
      <w:pPr>
        <w:pStyle w:val="ListBullet"/>
      </w:pPr>
      <w:r>
        <w:t>Targeting customers above the 0.18 risk threshold yields about 76% more net benefit than contacting everyone (test set, under stated assumptions); it flags 1,799 still-active customers worth $1,575,468 annual revenue.</w:t>
      </w:r>
    </w:p>
    <w:p>
      <w:pPr>
        <w:pStyle w:val="ListBullet"/>
      </w:pPr>
      <w:r>
        <w:t>Biggest levers: move month-to-month customers to 1-2 year contracts, fix the first-year fibre experience, bundle security/tech support, and migrate electronic-check payers to auto-pay.</w:t>
      </w:r>
    </w:p>
    <w:p>
      <w:pPr>
        <w:pStyle w:val="Heading1"/>
      </w:pPr>
      <w:r>
        <w:t>2. Data and cleaning</w:t>
      </w:r>
    </w:p>
    <w:p>
      <w:r>
        <w:t>The IBM Telco Customer Churn dataset: 7,043 customers, 21 attributes (demographics, services, contract, billing, tenure, churn flag). No duplicates. The 11 blank TotalCharges values all belong to customers with tenure 0 (just joined) and were set to 0. 'No internet/phone service' values were merged into 'No' for add-on flags, and NumServices (count of products held) was derived.</w:t>
      </w:r>
    </w:p>
    <w:p>
      <w:r>
        <w:drawing>
          <wp:inline xmlns:a="http://schemas.openxmlformats.org/drawingml/2006/main" xmlns:pic="http://schemas.openxmlformats.org/drawingml/2006/picture">
            <wp:extent cx="3291840" cy="26114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hurn_spl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611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1 - Churn split</w:t>
      </w:r>
    </w:p>
    <w:p>
      <w:pPr>
        <w:pStyle w:val="Heading1"/>
      </w:pPr>
      <w:r>
        <w:t>3. What drives churn</w:t>
      </w:r>
    </w:p>
    <w:p>
      <w:r>
        <w:t>Association strength with churn (Cramer's V, all chi-square tests significant except gender and phone service):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feature</w:t>
            </w:r>
          </w:p>
        </w:tc>
        <w:tc>
          <w:tcPr>
            <w:tcW w:type="dxa" w:w="1440"/>
          </w:tcPr>
          <w:p>
            <w:r>
              <w:t>cramers_v</w:t>
            </w:r>
          </w:p>
        </w:tc>
        <w:tc>
          <w:tcPr>
            <w:tcW w:type="dxa" w:w="1440"/>
          </w:tcPr>
          <w:p>
            <w:r>
              <w:t>highest_churn_level</w:t>
            </w:r>
          </w:p>
        </w:tc>
        <w:tc>
          <w:tcPr>
            <w:tcW w:type="dxa" w:w="1440"/>
          </w:tcPr>
          <w:p>
            <w:r>
              <w:t>highest_rate</w:t>
            </w:r>
          </w:p>
        </w:tc>
        <w:tc>
          <w:tcPr>
            <w:tcW w:type="dxa" w:w="1440"/>
          </w:tcPr>
          <w:p>
            <w:r>
              <w:t>lowest_churn_level</w:t>
            </w:r>
          </w:p>
        </w:tc>
        <w:tc>
          <w:tcPr>
            <w:tcW w:type="dxa" w:w="1440"/>
          </w:tcPr>
          <w:p>
            <w:r>
              <w:t>lowest_rate</w:t>
            </w:r>
          </w:p>
        </w:tc>
      </w:tr>
      <w:tr>
        <w:tc>
          <w:tcPr>
            <w:tcW w:type="dxa" w:w="1440"/>
          </w:tcPr>
          <w:p>
            <w:r>
              <w:t>Contract</w:t>
            </w:r>
          </w:p>
        </w:tc>
        <w:tc>
          <w:tcPr>
            <w:tcW w:type="dxa" w:w="1440"/>
          </w:tcPr>
          <w:p>
            <w:r>
              <w:t>0.41</w:t>
            </w:r>
          </w:p>
        </w:tc>
        <w:tc>
          <w:tcPr>
            <w:tcW w:type="dxa" w:w="1440"/>
          </w:tcPr>
          <w:p>
            <w:r>
              <w:t>Month-to-month</w:t>
            </w:r>
          </w:p>
        </w:tc>
        <w:tc>
          <w:tcPr>
            <w:tcW w:type="dxa" w:w="1440"/>
          </w:tcPr>
          <w:p>
            <w:r>
              <w:t>43%</w:t>
            </w:r>
          </w:p>
        </w:tc>
        <w:tc>
          <w:tcPr>
            <w:tcW w:type="dxa" w:w="1440"/>
          </w:tcPr>
          <w:p>
            <w:r>
              <w:t>Two year</w:t>
            </w:r>
          </w:p>
        </w:tc>
        <w:tc>
          <w:tcPr>
            <w:tcW w:type="dxa" w:w="1440"/>
          </w:tcPr>
          <w:p>
            <w:r>
              <w:t>3%</w:t>
            </w:r>
          </w:p>
        </w:tc>
      </w:tr>
      <w:tr>
        <w:tc>
          <w:tcPr>
            <w:tcW w:type="dxa" w:w="1440"/>
          </w:tcPr>
          <w:p>
            <w:r>
              <w:t>InternetService</w:t>
            </w:r>
          </w:p>
        </w:tc>
        <w:tc>
          <w:tcPr>
            <w:tcW w:type="dxa" w:w="1440"/>
          </w:tcPr>
          <w:p>
            <w:r>
              <w:t>0.32</w:t>
            </w:r>
          </w:p>
        </w:tc>
        <w:tc>
          <w:tcPr>
            <w:tcW w:type="dxa" w:w="1440"/>
          </w:tcPr>
          <w:p>
            <w:r>
              <w:t>Fiber optic</w:t>
            </w:r>
          </w:p>
        </w:tc>
        <w:tc>
          <w:tcPr>
            <w:tcW w:type="dxa" w:w="1440"/>
          </w:tcPr>
          <w:p>
            <w:r>
              <w:t>42%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7%</w:t>
            </w:r>
          </w:p>
        </w:tc>
      </w:tr>
      <w:tr>
        <w:tc>
          <w:tcPr>
            <w:tcW w:type="dxa" w:w="1440"/>
          </w:tcPr>
          <w:p>
            <w:r>
              <w:t>PaymentMethod</w:t>
            </w:r>
          </w:p>
        </w:tc>
        <w:tc>
          <w:tcPr>
            <w:tcW w:type="dxa" w:w="1440"/>
          </w:tcPr>
          <w:p>
            <w:r>
              <w:t>0.3</w:t>
            </w:r>
          </w:p>
        </w:tc>
        <w:tc>
          <w:tcPr>
            <w:tcW w:type="dxa" w:w="1440"/>
          </w:tcPr>
          <w:p>
            <w:r>
              <w:t>Electronic check</w:t>
            </w:r>
          </w:p>
        </w:tc>
        <w:tc>
          <w:tcPr>
            <w:tcW w:type="dxa" w:w="1440"/>
          </w:tcPr>
          <w:p>
            <w:r>
              <w:t>45%</w:t>
            </w:r>
          </w:p>
        </w:tc>
        <w:tc>
          <w:tcPr>
            <w:tcW w:type="dxa" w:w="1440"/>
          </w:tcPr>
          <w:p>
            <w:r>
              <w:t>Credit card (automatic)</w:t>
            </w:r>
          </w:p>
        </w:tc>
        <w:tc>
          <w:tcPr>
            <w:tcW w:type="dxa" w:w="1440"/>
          </w:tcPr>
          <w:p>
            <w:r>
              <w:t>15%</w:t>
            </w:r>
          </w:p>
        </w:tc>
      </w:tr>
      <w:tr>
        <w:tc>
          <w:tcPr>
            <w:tcW w:type="dxa" w:w="1440"/>
          </w:tcPr>
          <w:p>
            <w:r>
              <w:t>PaperlessBilling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34%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16%</w:t>
            </w:r>
          </w:p>
        </w:tc>
      </w:tr>
      <w:tr>
        <w:tc>
          <w:tcPr>
            <w:tcW w:type="dxa" w:w="1440"/>
          </w:tcPr>
          <w:p>
            <w:r>
              <w:t>OnlineSecurity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31%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15%</w:t>
            </w:r>
          </w:p>
        </w:tc>
      </w:tr>
      <w:tr>
        <w:tc>
          <w:tcPr>
            <w:tcW w:type="dxa" w:w="1440"/>
          </w:tcPr>
          <w:p>
            <w:r>
              <w:t>TechSupport</w:t>
            </w:r>
          </w:p>
        </w:tc>
        <w:tc>
          <w:tcPr>
            <w:tcW w:type="dxa" w:w="1440"/>
          </w:tcPr>
          <w:p>
            <w:r>
              <w:t>0.16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31%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15%</w:t>
            </w:r>
          </w:p>
        </w:tc>
      </w:tr>
      <w:tr>
        <w:tc>
          <w:tcPr>
            <w:tcW w:type="dxa" w:w="1440"/>
          </w:tcPr>
          <w:p>
            <w:r>
              <w:t>Dependents</w:t>
            </w:r>
          </w:p>
        </w:tc>
        <w:tc>
          <w:tcPr>
            <w:tcW w:type="dxa" w:w="1440"/>
          </w:tcPr>
          <w:p>
            <w:r>
              <w:t>0.16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31%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15%</w:t>
            </w:r>
          </w:p>
        </w:tc>
      </w:tr>
      <w:tr>
        <w:tc>
          <w:tcPr>
            <w:tcW w:type="dxa" w:w="1440"/>
          </w:tcPr>
          <w:p>
            <w:r>
              <w:t>SeniorCitizen</w:t>
            </w:r>
          </w:p>
        </w:tc>
        <w:tc>
          <w:tcPr>
            <w:tcW w:type="dxa" w:w="1440"/>
          </w:tcPr>
          <w:p>
            <w:r>
              <w:t>0.15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42%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24%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60720" cy="30490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hurn_by_categ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9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2 - Churn rate by key attributes</w:t>
      </w:r>
    </w:p>
    <w:p>
      <w:r>
        <w:drawing>
          <wp:inline xmlns:a="http://schemas.openxmlformats.org/drawingml/2006/main" xmlns:pic="http://schemas.openxmlformats.org/drawingml/2006/picture">
            <wp:extent cx="4389120" cy="24691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hurn_by_ten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69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3 - Churn falls steeply with tenure</w:t>
      </w:r>
    </w:p>
    <w:p>
      <w:pPr>
        <w:pStyle w:val="ListBullet"/>
      </w:pPr>
      <w:r>
        <w:t>Contract is the strongest driver: month-to-month churns at 43% versus 3% on two-year contracts.</w:t>
      </w:r>
    </w:p>
    <w:p>
      <w:pPr>
        <w:pStyle w:val="ListBullet"/>
      </w:pPr>
      <w:r>
        <w:t>Fibre-optic customers churn at 42% versus 7% for customers with no internet - a price/quality issue worth investigating.</w:t>
      </w:r>
    </w:p>
    <w:p>
      <w:pPr>
        <w:pStyle w:val="ListBullet"/>
      </w:pPr>
      <w:r>
        <w:t>Electronic-check payers churn at 45% versus 15% for automatic card payers.</w:t>
      </w:r>
    </w:p>
    <w:p>
      <w:pPr>
        <w:pStyle w:val="ListBullet"/>
      </w:pPr>
      <w:r>
        <w:t>Customers without Tech Support or Online Security churn about twice as often as those with them.</w:t>
      </w:r>
    </w:p>
    <w:p>
      <w:pPr>
        <w:pStyle w:val="ListBullet"/>
      </w:pPr>
      <w:r>
        <w:t>Gender and phone service have no meaningful effect.</w:t>
      </w:r>
    </w:p>
    <w:p>
      <w:pPr>
        <w:pStyle w:val="ListBullet"/>
      </w:pPr>
      <w:r>
        <w:t>Churners have a median tenure of 10 months versus 38 for stayers - risk is concentrated in the first year.</w:t>
      </w:r>
    </w:p>
    <w:p>
      <w:r>
        <w:drawing>
          <wp:inline xmlns:a="http://schemas.openxmlformats.org/drawingml/2006/main" xmlns:pic="http://schemas.openxmlformats.org/drawingml/2006/picture">
            <wp:extent cx="4389120" cy="28402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ntract_internet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840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4 - Contract x internet service</w:t>
      </w:r>
    </w:p>
    <w:p>
      <w:pPr>
        <w:pStyle w:val="Heading1"/>
      </w:pPr>
      <w:r>
        <w:t>4. Customer segmentation</w:t>
      </w:r>
    </w:p>
    <w:p>
      <w:r>
        <w:t>Because the data has no purchase history, RFM was adapted: Recency = tenure (relationship length), Frequency = number of services held, Monetary = monthly charge. Features were standardised and clustered with K-Means. k=5 was chosen: silhouette scores are close for k=3-6 (about 0.39-0.43), and k=5 is the smallest solution that separates two distinct high-risk groups that k=4 merges.</w:t>
      </w:r>
    </w:p>
    <w:p>
      <w:r>
        <w:drawing>
          <wp:inline xmlns:a="http://schemas.openxmlformats.org/drawingml/2006/main" xmlns:pic="http://schemas.openxmlformats.org/drawingml/2006/picture">
            <wp:extent cx="5029200" cy="17811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kmeans_k_sele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81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5 - Choosing 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Segment</w:t>
            </w:r>
          </w:p>
        </w:tc>
        <w:tc>
          <w:tcPr>
            <w:tcW w:type="dxa" w:w="1080"/>
          </w:tcPr>
          <w:p>
            <w:r>
              <w:t>Customers</w:t>
            </w:r>
          </w:p>
        </w:tc>
        <w:tc>
          <w:tcPr>
            <w:tcW w:type="dxa" w:w="1080"/>
          </w:tcPr>
          <w:p>
            <w:r>
              <w:t>Tenure (m)</w:t>
            </w:r>
          </w:p>
        </w:tc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Monthly $</w:t>
            </w:r>
          </w:p>
        </w:tc>
        <w:tc>
          <w:tcPr>
            <w:tcW w:type="dxa" w:w="1080"/>
          </w:tcPr>
          <w:p>
            <w:r>
              <w:t>Churn</w:t>
            </w:r>
          </w:p>
        </w:tc>
        <w:tc>
          <w:tcPr>
            <w:tcW w:type="dxa" w:w="1080"/>
          </w:tcPr>
          <w:p>
            <w:r>
              <w:t>% of churn</w:t>
            </w:r>
          </w:p>
        </w:tc>
        <w:tc>
          <w:tcPr>
            <w:tcW w:type="dxa" w:w="1080"/>
          </w:tcPr>
          <w:p>
            <w:r>
              <w:t>% of rev lost</w:t>
            </w:r>
          </w:p>
        </w:tc>
      </w:tr>
      <w:tr>
        <w:tc>
          <w:tcPr>
            <w:tcW w:type="dxa" w:w="1080"/>
          </w:tcPr>
          <w:p>
            <w:r>
              <w:t>New Fiber Switchers</w:t>
            </w:r>
          </w:p>
        </w:tc>
        <w:tc>
          <w:tcPr>
            <w:tcW w:type="dxa" w:w="1080"/>
          </w:tcPr>
          <w:p>
            <w:r>
              <w:t>1603</w:t>
            </w:r>
          </w:p>
        </w:tc>
        <w:tc>
          <w:tcPr>
            <w:tcW w:type="dxa" w:w="1080"/>
          </w:tcPr>
          <w:p>
            <w:r>
              <w:t>10.3</w:t>
            </w:r>
          </w:p>
        </w:tc>
        <w:tc>
          <w:tcPr>
            <w:tcW w:type="dxa" w:w="1080"/>
          </w:tcPr>
          <w:p>
            <w:r>
              <w:t>3.4</w:t>
            </w:r>
          </w:p>
        </w:tc>
        <w:tc>
          <w:tcPr>
            <w:tcW w:type="dxa" w:w="1080"/>
          </w:tcPr>
          <w:p>
            <w:r>
              <w:t>67.3</w:t>
            </w:r>
          </w:p>
        </w:tc>
        <w:tc>
          <w:tcPr>
            <w:tcW w:type="dxa" w:w="1080"/>
          </w:tcPr>
          <w:p>
            <w:r>
              <w:t>47%</w:t>
            </w:r>
          </w:p>
        </w:tc>
        <w:tc>
          <w:tcPr>
            <w:tcW w:type="dxa" w:w="1080"/>
          </w:tcPr>
          <w:p>
            <w:r>
              <w:t>41%</w:t>
            </w:r>
          </w:p>
        </w:tc>
        <w:tc>
          <w:tcPr>
            <w:tcW w:type="dxa" w:w="1080"/>
          </w:tcPr>
          <w:p>
            <w:r>
              <w:t>39%</w:t>
            </w:r>
          </w:p>
        </w:tc>
      </w:tr>
      <w:tr>
        <w:tc>
          <w:tcPr>
            <w:tcW w:type="dxa" w:w="1080"/>
          </w:tcPr>
          <w:p>
            <w:r>
              <w:t>Mid-Tenure Fiber At-Risk</w:t>
            </w:r>
          </w:p>
        </w:tc>
        <w:tc>
          <w:tcPr>
            <w:tcW w:type="dxa" w:w="1080"/>
          </w:tcPr>
          <w:p>
            <w:r>
              <w:t>1425</w:t>
            </w:r>
          </w:p>
        </w:tc>
        <w:tc>
          <w:tcPr>
            <w:tcW w:type="dxa" w:w="1080"/>
          </w:tcPr>
          <w:p>
            <w:r>
              <w:t>25.4</w:t>
            </w:r>
          </w:p>
        </w:tc>
        <w:tc>
          <w:tcPr>
            <w:tcW w:type="dxa" w:w="1080"/>
          </w:tcPr>
          <w:p>
            <w:r>
              <w:t>5.5</w:t>
            </w:r>
          </w:p>
        </w:tc>
        <w:tc>
          <w:tcPr>
            <w:tcW w:type="dxa" w:w="1080"/>
          </w:tcPr>
          <w:p>
            <w:r>
              <w:t>86.8</w:t>
            </w:r>
          </w:p>
        </w:tc>
        <w:tc>
          <w:tcPr>
            <w:tcW w:type="dxa" w:w="1080"/>
          </w:tcPr>
          <w:p>
            <w:r>
              <w:t>40%</w:t>
            </w:r>
          </w:p>
        </w:tc>
        <w:tc>
          <w:tcPr>
            <w:tcW w:type="dxa" w:w="1080"/>
          </w:tcPr>
          <w:p>
            <w:r>
              <w:t>30%</w:t>
            </w:r>
          </w:p>
        </w:tc>
        <w:tc>
          <w:tcPr>
            <w:tcW w:type="dxa" w:w="1080"/>
          </w:tcPr>
          <w:p>
            <w:r>
              <w:t>38%</w:t>
            </w:r>
          </w:p>
        </w:tc>
      </w:tr>
      <w:tr>
        <w:tc>
          <w:tcPr>
            <w:tcW w:type="dxa" w:w="1080"/>
          </w:tcPr>
          <w:p>
            <w:r>
              <w:t>New Budget Starters</w:t>
            </w:r>
          </w:p>
        </w:tc>
        <w:tc>
          <w:tcPr>
            <w:tcW w:type="dxa" w:w="1080"/>
          </w:tcPr>
          <w:p>
            <w:r>
              <w:t>1280</w:t>
            </w:r>
          </w:p>
        </w:tc>
        <w:tc>
          <w:tcPr>
            <w:tcW w:type="dxa" w:w="1080"/>
          </w:tcPr>
          <w:p>
            <w:r>
              <w:t>10.6</w:t>
            </w:r>
          </w:p>
        </w:tc>
        <w:tc>
          <w:tcPr>
            <w:tcW w:type="dxa" w:w="1080"/>
          </w:tcPr>
          <w:p>
            <w:r>
              <w:t>1.4</w:t>
            </w:r>
          </w:p>
        </w:tc>
        <w:tc>
          <w:tcPr>
            <w:tcW w:type="dxa" w:w="1080"/>
          </w:tcPr>
          <w:p>
            <w:r>
              <w:t>25.6</w:t>
            </w:r>
          </w:p>
        </w:tc>
        <w:tc>
          <w:tcPr>
            <w:tcW w:type="dxa" w:w="1080"/>
          </w:tcPr>
          <w:p>
            <w:r>
              <w:t>21%</w:t>
            </w:r>
          </w:p>
        </w:tc>
        <w:tc>
          <w:tcPr>
            <w:tcW w:type="dxa" w:w="1080"/>
          </w:tcPr>
          <w:p>
            <w:r>
              <w:t>15%</w:t>
            </w:r>
          </w:p>
        </w:tc>
        <w:tc>
          <w:tcPr>
            <w:tcW w:type="dxa" w:w="1080"/>
          </w:tcPr>
          <w:p>
            <w:r>
              <w:t>6%</w:t>
            </w:r>
          </w:p>
        </w:tc>
      </w:tr>
      <w:tr>
        <w:tc>
          <w:tcPr>
            <w:tcW w:type="dxa" w:w="1080"/>
          </w:tcPr>
          <w:p>
            <w:r>
              <w:t>Premium Loyalists</w:t>
            </w:r>
          </w:p>
        </w:tc>
        <w:tc>
          <w:tcPr>
            <w:tcW w:type="dxa" w:w="1080"/>
          </w:tcPr>
          <w:p>
            <w:r>
              <w:t>1768</w:t>
            </w:r>
          </w:p>
        </w:tc>
        <w:tc>
          <w:tcPr>
            <w:tcW w:type="dxa" w:w="1080"/>
          </w:tcPr>
          <w:p>
            <w:r>
              <w:t>61.6</w:t>
            </w:r>
          </w:p>
        </w:tc>
        <w:tc>
          <w:tcPr>
            <w:tcW w:type="dxa" w:w="1080"/>
          </w:tcPr>
          <w:p>
            <w:r>
              <w:t>6.9</w:t>
            </w:r>
          </w:p>
        </w:tc>
        <w:tc>
          <w:tcPr>
            <w:tcW w:type="dxa" w:w="1080"/>
          </w:tcPr>
          <w:p>
            <w:r>
              <w:t>91.9</w:t>
            </w:r>
          </w:p>
        </w:tc>
        <w:tc>
          <w:tcPr>
            <w:tcW w:type="dxa" w:w="1080"/>
          </w:tcPr>
          <w:p>
            <w:r>
              <w:t>13%</w:t>
            </w:r>
          </w:p>
        </w:tc>
        <w:tc>
          <w:tcPr>
            <w:tcW w:type="dxa" w:w="1080"/>
          </w:tcPr>
          <w:p>
            <w:r>
              <w:t>12%</w:t>
            </w:r>
          </w:p>
        </w:tc>
        <w:tc>
          <w:tcPr>
            <w:tcW w:type="dxa" w:w="1080"/>
          </w:tcPr>
          <w:p>
            <w:r>
              <w:t>16%</w:t>
            </w:r>
          </w:p>
        </w:tc>
      </w:tr>
      <w:tr>
        <w:tc>
          <w:tcPr>
            <w:tcW w:type="dxa" w:w="1080"/>
          </w:tcPr>
          <w:p>
            <w:r>
              <w:t>Loyal Basic Savers</w:t>
            </w:r>
          </w:p>
        </w:tc>
        <w:tc>
          <w:tcPr>
            <w:tcW w:type="dxa" w:w="1080"/>
          </w:tcPr>
          <w:p>
            <w:r>
              <w:t>967</w:t>
            </w:r>
          </w:p>
        </w:tc>
        <w:tc>
          <w:tcPr>
            <w:tcW w:type="dxa" w:w="1080"/>
          </w:tcPr>
          <w:p>
            <w:r>
              <w:t>54.7</w:t>
            </w:r>
          </w:p>
        </w:tc>
        <w:tc>
          <w:tcPr>
            <w:tcW w:type="dxa" w:w="1080"/>
          </w:tcPr>
          <w:p>
            <w:r>
              <w:t>2.1</w:t>
            </w:r>
          </w:p>
        </w:tc>
        <w:tc>
          <w:tcPr>
            <w:tcW w:type="dxa" w:w="1080"/>
          </w:tcPr>
          <w:p>
            <w:r>
              <w:t>30.3</w:t>
            </w:r>
          </w:p>
        </w:tc>
        <w:tc>
          <w:tcPr>
            <w:tcW w:type="dxa" w:w="1080"/>
          </w:tcPr>
          <w:p>
            <w:r>
              <w:t>4%</w:t>
            </w:r>
          </w:p>
        </w:tc>
        <w:tc>
          <w:tcPr>
            <w:tcW w:type="dxa" w:w="1080"/>
          </w:tcPr>
          <w:p>
            <w:r>
              <w:t>2%</w:t>
            </w:r>
          </w:p>
        </w:tc>
        <w:tc>
          <w:tcPr>
            <w:tcW w:type="dxa" w:w="1080"/>
          </w:tcPr>
          <w:p>
            <w:r>
              <w:t>1%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60720" cy="15779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egment_churn_over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7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6 - Segment churn, size and revenue lost</w:t>
      </w:r>
    </w:p>
    <w:p>
      <w:r>
        <w:drawing>
          <wp:inline xmlns:a="http://schemas.openxmlformats.org/drawingml/2006/main" xmlns:pic="http://schemas.openxmlformats.org/drawingml/2006/picture">
            <wp:extent cx="4389120" cy="243352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egment_rfm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33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7 - RFM-style profile (std. deviations from average)</w:t>
      </w:r>
    </w:p>
    <w:p>
      <w:pPr>
        <w:pStyle w:val="Heading1"/>
      </w:pPr>
      <w:r>
        <w:t>5. Churn prediction model</w:t>
      </w:r>
    </w:p>
    <w:p>
      <w:r>
        <w:t>Four models were trained on a stratified 80% split with 5-fold CV and evaluated on the held-out 20%: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 AUC</w:t>
            </w:r>
          </w:p>
        </w:tc>
        <w:tc>
          <w:tcPr>
            <w:tcW w:type="dxa" w:w="1728"/>
          </w:tcPr>
          <w:p>
            <w:r>
              <w:t>Test AUC</w:t>
            </w:r>
          </w:p>
        </w:tc>
        <w:tc>
          <w:tcPr>
            <w:tcW w:type="dxa" w:w="1728"/>
          </w:tcPr>
          <w:p>
            <w:r>
              <w:t>Test PR-AUC</w:t>
            </w:r>
          </w:p>
        </w:tc>
        <w:tc>
          <w:tcPr>
            <w:tcW w:type="dxa" w:w="1728"/>
          </w:tcPr>
          <w:p>
            <w:r>
              <w:t>Brier</w:t>
            </w:r>
          </w:p>
        </w:tc>
      </w:tr>
      <w:tr>
        <w:tc>
          <w:tcPr>
            <w:tcW w:type="dxa" w:w="1728"/>
          </w:tcPr>
          <w:p>
            <w:r>
              <w:t>Gradient Boosting</w:t>
            </w:r>
          </w:p>
        </w:tc>
        <w:tc>
          <w:tcPr>
            <w:tcW w:type="dxa" w:w="1728"/>
          </w:tcPr>
          <w:p>
            <w:r>
              <w:t>0.849</w:t>
            </w:r>
          </w:p>
        </w:tc>
        <w:tc>
          <w:tcPr>
            <w:tcW w:type="dxa" w:w="1728"/>
          </w:tcPr>
          <w:p>
            <w:r>
              <w:t>0.844</w:t>
            </w:r>
          </w:p>
        </w:tc>
        <w:tc>
          <w:tcPr>
            <w:tcW w:type="dxa" w:w="1728"/>
          </w:tcPr>
          <w:p>
            <w:r>
              <w:t>0.659</w:t>
            </w:r>
          </w:p>
        </w:tc>
        <w:tc>
          <w:tcPr>
            <w:tcW w:type="dxa" w:w="1728"/>
          </w:tcPr>
          <w:p>
            <w:r>
              <w:t>0.137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0.849</w:t>
            </w:r>
          </w:p>
        </w:tc>
        <w:tc>
          <w:tcPr>
            <w:tcW w:type="dxa" w:w="1728"/>
          </w:tcPr>
          <w:p>
            <w:r>
              <w:t>0.846</w:t>
            </w:r>
          </w:p>
        </w:tc>
        <w:tc>
          <w:tcPr>
            <w:tcW w:type="dxa" w:w="1728"/>
          </w:tcPr>
          <w:p>
            <w:r>
              <w:t>0.664</w:t>
            </w:r>
          </w:p>
        </w:tc>
        <w:tc>
          <w:tcPr>
            <w:tcW w:type="dxa" w:w="1728"/>
          </w:tcPr>
          <w:p>
            <w:r>
              <w:t>0.163</w:t>
            </w:r>
          </w:p>
        </w:tc>
      </w:tr>
      <w:tr>
        <w:tc>
          <w:tcPr>
            <w:tcW w:type="dxa" w:w="1728"/>
          </w:tcPr>
          <w:p>
            <w:r>
              <w:t>Logistic Regression</w:t>
            </w:r>
          </w:p>
        </w:tc>
        <w:tc>
          <w:tcPr>
            <w:tcW w:type="dxa" w:w="1728"/>
          </w:tcPr>
          <w:p>
            <w:r>
              <w:t>0.846</w:t>
            </w:r>
          </w:p>
        </w:tc>
        <w:tc>
          <w:tcPr>
            <w:tcW w:type="dxa" w:w="1728"/>
          </w:tcPr>
          <w:p>
            <w:r>
              <w:t>0.842</w:t>
            </w:r>
          </w:p>
        </w:tc>
        <w:tc>
          <w:tcPr>
            <w:tcW w:type="dxa" w:w="1728"/>
          </w:tcPr>
          <w:p>
            <w:r>
              <w:t>0.635</w:t>
            </w:r>
          </w:p>
        </w:tc>
        <w:tc>
          <w:tcPr>
            <w:tcW w:type="dxa" w:w="1728"/>
          </w:tcPr>
          <w:p>
            <w:r>
              <w:t>0.168</w:t>
            </w:r>
          </w:p>
        </w:tc>
      </w:tr>
      <w:tr>
        <w:tc>
          <w:tcPr>
            <w:tcW w:type="dxa" w:w="1728"/>
          </w:tcPr>
          <w:p>
            <w:r>
              <w:t>Random Forest</w:t>
            </w:r>
          </w:p>
        </w:tc>
        <w:tc>
          <w:tcPr>
            <w:tcW w:type="dxa" w:w="1728"/>
          </w:tcPr>
          <w:p>
            <w:r>
              <w:t>0.845</w:t>
            </w:r>
          </w:p>
        </w:tc>
        <w:tc>
          <w:tcPr>
            <w:tcW w:type="dxa" w:w="1728"/>
          </w:tcPr>
          <w:p>
            <w:r>
              <w:t>0.842</w:t>
            </w:r>
          </w:p>
        </w:tc>
        <w:tc>
          <w:tcPr>
            <w:tcW w:type="dxa" w:w="1728"/>
          </w:tcPr>
          <w:p>
            <w:r>
              <w:t>0.651</w:t>
            </w:r>
          </w:p>
        </w:tc>
        <w:tc>
          <w:tcPr>
            <w:tcW w:type="dxa" w:w="1728"/>
          </w:tcPr>
          <w:p>
            <w:r>
              <w:t>0.151</w:t>
            </w:r>
          </w:p>
        </w:tc>
      </w:tr>
    </w:tbl>
    <w:p/>
    <w:p>
      <w:r>
        <w:t>All four models perform within about 0.005 AUC of each other, a sign that the signal is mostly captured by contract, tenure and internet service. Gradient boosting had the best CV AUC and best probability calibration (lowest Brier score) and was selected; its out-of-fold probabilities score every customer in the dashboard, so reported risk is not inflated by training on the same rows.</w:t>
      </w:r>
    </w:p>
    <w:p>
      <w:r>
        <w:drawing>
          <wp:inline xmlns:a="http://schemas.openxmlformats.org/drawingml/2006/main" xmlns:pic="http://schemas.openxmlformats.org/drawingml/2006/picture">
            <wp:extent cx="5760720" cy="23544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oc_pr_curv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4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8 - ROC and precision-recall curves (test set)</w:t>
      </w:r>
    </w:p>
    <w:p>
      <w:r>
        <w:drawing>
          <wp:inline xmlns:a="http://schemas.openxmlformats.org/drawingml/2006/main" xmlns:pic="http://schemas.openxmlformats.org/drawingml/2006/picture">
            <wp:extent cx="4572000" cy="32348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permutation_importa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34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9 - What the model relies on</w:t>
      </w:r>
    </w:p>
    <w:p>
      <w:r>
        <w:drawing>
          <wp:inline xmlns:a="http://schemas.openxmlformats.org/drawingml/2006/main" xmlns:pic="http://schemas.openxmlformats.org/drawingml/2006/picture">
            <wp:extent cx="5029200" cy="374598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logistic_drive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45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10 - Logistic regression drivers (interpretable cross-check)</w:t>
      </w:r>
    </w:p>
    <w:p>
      <w:r>
        <w:drawing>
          <wp:inline xmlns:a="http://schemas.openxmlformats.org/drawingml/2006/main" xmlns:pic="http://schemas.openxmlformats.org/drawingml/2006/picture">
            <wp:extent cx="4114800" cy="34100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gains_curv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10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11 - Cumulative gains</w:t>
      </w:r>
    </w:p>
    <w:p>
      <w:pPr>
        <w:pStyle w:val="Heading1"/>
      </w:pPr>
      <w:r>
        <w:t>6. Turning predictions into decisions</w:t>
      </w:r>
    </w:p>
    <w:p>
      <w:r>
        <w:t>A default 0.5 cut-off is wrong for retention: missing a churner costs far more than a wasted call. Assuming $40 per outreach, 25% acceptance among would-be churners and 12 months of retained revenue, the net-benefit-maximising threshold (chosen on training out-of-fold scores, not the test set) is 0.18. On the test set this gives precision 47% and recall 87%, and net benefit $44,422 versus $25,285 for contacting everyone. These assumptions are placeholders; replace them with the company's real figures.</w:t>
      </w:r>
    </w:p>
    <w:p>
      <w:r>
        <w:drawing>
          <wp:inline xmlns:a="http://schemas.openxmlformats.org/drawingml/2006/main" xmlns:pic="http://schemas.openxmlformats.org/drawingml/2006/picture">
            <wp:extent cx="4389120" cy="278454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profit_curv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84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12 - Net benefit by threshold</w:t>
      </w:r>
    </w:p>
    <w:p>
      <w:r>
        <w:drawing>
          <wp:inline xmlns:a="http://schemas.openxmlformats.org/drawingml/2006/main" xmlns:pic="http://schemas.openxmlformats.org/drawingml/2006/picture">
            <wp:extent cx="3108960" cy="270680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confusion_matrix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706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13 - Confusion matrix at the chosen threshold</w:t>
      </w:r>
    </w:p>
    <w:p>
      <w:pPr>
        <w:pStyle w:val="Heading1"/>
      </w:pPr>
      <w:r>
        <w:t>7. Who to target and what to 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Segment</w:t>
            </w:r>
          </w:p>
        </w:tc>
        <w:tc>
          <w:tcPr>
            <w:tcW w:type="dxa" w:w="2160"/>
          </w:tcPr>
          <w:p>
            <w:r>
              <w:t>Programme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</w:tr>
      <w:tr>
        <w:tc>
          <w:tcPr>
            <w:tcW w:type="dxa" w:w="2160"/>
          </w:tcPr>
          <w:p>
            <w:r>
              <w:t>1 - Critical</w:t>
            </w:r>
          </w:p>
        </w:tc>
        <w:tc>
          <w:tcPr>
            <w:tcW w:type="dxa" w:w="2160"/>
          </w:tcPr>
          <w:p>
            <w:r>
              <w:t>New Fiber Switchers</w:t>
            </w:r>
          </w:p>
        </w:tc>
        <w:tc>
          <w:tcPr>
            <w:tcW w:type="dxa" w:w="2160"/>
          </w:tcPr>
          <w:p>
            <w:r>
              <w:t>Early-life onboarding</w:t>
            </w:r>
          </w:p>
        </w:tc>
        <w:tc>
          <w:tcPr>
            <w:tcW w:type="dxa" w:w="2160"/>
          </w:tcPr>
          <w:p>
            <w:r>
              <w:t>Month-to-month fiber customers in their first year: 47% churn. Run a 90-day onboarding journey, offer a 12-month contract with a bill credit, add free Online Security / Tech Support trial, and move them off electronic check to auto-pay.</w:t>
            </w:r>
          </w:p>
        </w:tc>
      </w:tr>
      <w:tr>
        <w:tc>
          <w:tcPr>
            <w:tcW w:type="dxa" w:w="2160"/>
          </w:tcPr>
          <w:p>
            <w:r>
              <w:t>2 - Critical</w:t>
            </w:r>
          </w:p>
        </w:tc>
        <w:tc>
          <w:tcPr>
            <w:tcW w:type="dxa" w:w="2160"/>
          </w:tcPr>
          <w:p>
            <w:r>
              <w:t>Mid-Tenure Fiber At-Risk</w:t>
            </w:r>
          </w:p>
        </w:tc>
        <w:tc>
          <w:tcPr>
            <w:tcW w:type="dxa" w:w="2160"/>
          </w:tcPr>
          <w:p>
            <w:r>
              <w:t>Contract upgrade + service bundling</w:t>
            </w:r>
          </w:p>
        </w:tc>
        <w:tc>
          <w:tcPr>
            <w:tcW w:type="dxa" w:w="2160"/>
          </w:tcPr>
          <w:p>
            <w:r>
              <w:t>High-value (~$87/mo) fiber customers, 75% month-to-month, only 37% have Tech Support. Offer price-lock 1-2 year contracts and a bundled security/support add-on; proactive service-quality check for fiber faults.</w:t>
            </w:r>
          </w:p>
        </w:tc>
      </w:tr>
      <w:tr>
        <w:tc>
          <w:tcPr>
            <w:tcW w:type="dxa" w:w="2160"/>
          </w:tcPr>
          <w:p>
            <w:r>
              <w:t>3 - Nurture</w:t>
            </w:r>
          </w:p>
        </w:tc>
        <w:tc>
          <w:tcPr>
            <w:tcW w:type="dxa" w:w="2160"/>
          </w:tcPr>
          <w:p>
            <w:r>
              <w:t>New Budget Starters</w:t>
            </w:r>
          </w:p>
        </w:tc>
        <w:tc>
          <w:tcPr>
            <w:tcW w:type="dxa" w:w="2160"/>
          </w:tcPr>
          <w:p>
            <w:r>
              <w:t>Low-cost digital nurture</w:t>
            </w:r>
          </w:p>
        </w:tc>
        <w:tc>
          <w:tcPr>
            <w:tcW w:type="dxa" w:w="2160"/>
          </w:tcPr>
          <w:p>
            <w:r>
              <w:t>Low-spend DSL/phone-only newcomers (21% churn). Automated emails/SMS, upsell one add-on, avoid expensive discounts - limited revenue at stake.</w:t>
            </w:r>
          </w:p>
        </w:tc>
      </w:tr>
      <w:tr>
        <w:tc>
          <w:tcPr>
            <w:tcW w:type="dxa" w:w="2160"/>
          </w:tcPr>
          <w:p>
            <w:r>
              <w:t>4 - Protect</w:t>
            </w:r>
          </w:p>
        </w:tc>
        <w:tc>
          <w:tcPr>
            <w:tcW w:type="dxa" w:w="2160"/>
          </w:tcPr>
          <w:p>
            <w:r>
              <w:t>Premium Loyalists</w:t>
            </w:r>
          </w:p>
        </w:tc>
        <w:tc>
          <w:tcPr>
            <w:tcW w:type="dxa" w:w="2160"/>
          </w:tcPr>
          <w:p>
            <w:r>
              <w:t>Loyalty and VIP care</w:t>
            </w:r>
          </w:p>
        </w:tc>
        <w:tc>
          <w:tcPr>
            <w:tcW w:type="dxa" w:w="2160"/>
          </w:tcPr>
          <w:p>
            <w:r>
              <w:t>Largest revenue pool ($163K/mo) with 13% churn. Protect with loyalty rewards, priority support and renewal reminders; watch the month-to-month minority.</w:t>
            </w:r>
          </w:p>
        </w:tc>
      </w:tr>
      <w:tr>
        <w:tc>
          <w:tcPr>
            <w:tcW w:type="dxa" w:w="2160"/>
          </w:tcPr>
          <w:p>
            <w:r>
              <w:t>5 - Maintain</w:t>
            </w:r>
          </w:p>
        </w:tc>
        <w:tc>
          <w:tcPr>
            <w:tcW w:type="dxa" w:w="2160"/>
          </w:tcPr>
          <w:p>
            <w:r>
              <w:t>Loyal Basic Savers</w:t>
            </w:r>
          </w:p>
        </w:tc>
        <w:tc>
          <w:tcPr>
            <w:tcW w:type="dxa" w:w="2160"/>
          </w:tcPr>
          <w:p>
            <w:r>
              <w:t>Maintain</w:t>
            </w:r>
          </w:p>
        </w:tc>
        <w:tc>
          <w:tcPr>
            <w:tcW w:type="dxa" w:w="2160"/>
          </w:tcPr>
          <w:p>
            <w:r>
              <w:t>Very sticky (4% churn). No retention spend; occasional cross-sell only.</w:t>
            </w:r>
          </w:p>
        </w:tc>
      </w:tr>
    </w:tbl>
    <w:p/>
    <w:p>
      <w:pPr>
        <w:pStyle w:val="Heading1"/>
      </w:pPr>
      <w:r>
        <w:t>8. Limitations and next steps</w:t>
      </w:r>
    </w:p>
    <w:p>
      <w:pPr>
        <w:pStyle w:val="ListBullet"/>
      </w:pPr>
      <w:r>
        <w:t>Snapshot data: no time dimension, so real recency and time-to-churn (survival analysis) cannot be modelled.</w:t>
      </w:r>
    </w:p>
    <w:p>
      <w:pPr>
        <w:pStyle w:val="ListBullet"/>
      </w:pPr>
      <w:r>
        <w:t>Business assumptions (cost, acceptance rate, months saved) are illustrative; validate with finance/CRM.</w:t>
      </w:r>
    </w:p>
    <w:p>
      <w:pPr>
        <w:pStyle w:val="ListBullet"/>
      </w:pPr>
      <w:r>
        <w:t>Findings are associations. Run an A/B test of the retention offers (control group vs treated) to measure true uplift, ideally with an uplift model.</w:t>
      </w:r>
    </w:p>
    <w:p>
      <w:pPr>
        <w:pStyle w:val="ListBullet"/>
      </w:pPr>
      <w:r>
        <w:t>Next: add usage, complaint and support-ticket data; monitor model drift monthly; refresh the target list weekly.</w:t>
      </w:r>
    </w:p>
    <w:p>
      <w:pPr>
        <w:pStyle w:val="Heading2"/>
      </w:pPr>
      <w:r>
        <w:t>Resume line</w:t>
      </w:r>
    </w:p>
    <w:p>
      <w:r>
        <w:t>Analysed 7,043 telecom customers (Python, Orange, Power BI): identified 2 high-risk segments driving 71% of churn and 76% of lost revenue; built a churn model (AUC 0.85) capturing 51% of churners in the top 20% of customers and proposed segment-specific retention 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