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Mesure et optimisation de la somme des sinus en Go</w:t>
      </w:r>
    </w:p>
    <w:p>
      <w:pPr>
        <w:spacing w:after="60"/>
        <w:jc w:val="center"/>
      </w:pPr>
      <w:r>
        <w:rPr>
          <w:color w:val="555555"/>
          <w:sz w:val="20"/>
          <w:szCs w:val="20"/>
        </w:rPr>
        <w:t xml:space="preserve">INF2007 – Programmation Avancée  ·  TN4</w:t>
      </w:r>
    </w:p>
    <w:p>
      <w:pPr>
        <w:spacing w:after="60"/>
        <w:jc w:val="center"/>
      </w:pPr>
      <w:r>
        <w:rPr>
          <w:color w:val="555555"/>
          <w:sz w:val="20"/>
          <w:szCs w:val="20"/>
        </w:rPr>
        <w:t xml:space="preserve">Melissa Moya  ·  Semaine 10</w:t>
      </w:r>
    </w:p>
    <w:p>
      <w:pPr>
        <w:pBdr>
          <w:bottom w:val="single" w:color="CCCCCC" w:sz="4"/>
        </w:pBdr>
        <w:spacing w:after="80" w:before="80"/>
      </w:pPr>
    </w:p>
    <w:p>
      <w:pPr>
        <w:pStyle w:val="Heading1"/>
        <w:spacing w:after="100" w:before="200"/>
      </w:pPr>
      <w:r>
        <w:rPr>
          <w:b/>
          <w:bCs/>
          <w:color w:val="1a1a1a"/>
          <w:sz w:val="26"/>
          <w:szCs w:val="26"/>
        </w:rPr>
        <w:t xml:space="preserve">1. Approche et structure du programme</w:t>
      </w:r>
    </w:p>
    <w:p>
      <w:pPr>
        <w:spacing w:after="100" w:line="276"/>
        <w:jc w:val="both"/>
      </w:pPr>
      <w:r>
        <w:rPr>
          <w:sz w:val="20"/>
          <w:szCs w:val="20"/>
        </w:rPr>
        <w:t xml:space="preserve">Le programme calcule la somme des sinus d'un tableau de 1 000 000 d'éléments (entiers ou flottants) via le flag </w:t>
      </w:r>
      <w:r>
        <w:rPr>
          <w:rFonts w:ascii="Courier New" w:cs="Courier New" w:eastAsia="Courier New" w:hAnsi="Courier New"/>
          <w:sz w:val="18"/>
          <w:szCs w:val="18"/>
        </w:rPr>
        <w:t xml:space="preserve">--type</w:t>
      </w:r>
      <w:r>
        <w:rPr>
          <w:sz w:val="20"/>
          <w:szCs w:val="20"/>
        </w:rPr>
        <w:t xml:space="preserve">. Deux fonctions spécialisées (</w:t>
      </w:r>
      <w:r>
        <w:rPr>
          <w:rFonts w:ascii="Courier New" w:cs="Courier New" w:eastAsia="Courier New" w:hAnsi="Courier New"/>
          <w:sz w:val="18"/>
          <w:szCs w:val="18"/>
        </w:rPr>
        <w:t xml:space="preserve">computeSineSumInt</w:t>
      </w:r>
      <w:r>
        <w:rPr>
          <w:sz w:val="20"/>
          <w:szCs w:val="20"/>
        </w:rPr>
        <w:t xml:space="preserve"> / </w:t>
      </w:r>
      <w:r>
        <w:rPr>
          <w:rFonts w:ascii="Courier New" w:cs="Courier New" w:eastAsia="Courier New" w:hAnsi="Courier New"/>
          <w:sz w:val="18"/>
          <w:szCs w:val="18"/>
        </w:rPr>
        <w:t xml:space="preserve">computeSineSumFloat</w:t>
      </w:r>
      <w:r>
        <w:rPr>
          <w:sz w:val="20"/>
          <w:szCs w:val="20"/>
        </w:rPr>
        <w:t xml:space="preserve">) contiennent la boucle de calcul ; </w:t>
      </w:r>
      <w:r>
        <w:rPr>
          <w:rFonts w:ascii="Courier New" w:cs="Courier New" w:eastAsia="Courier New" w:hAnsi="Courier New"/>
          <w:sz w:val="18"/>
          <w:szCs w:val="18"/>
        </w:rPr>
        <w:t xml:space="preserve">computeSineSum</w:t>
      </w:r>
      <w:r>
        <w:rPr>
          <w:sz w:val="20"/>
          <w:szCs w:val="20"/>
        </w:rPr>
        <w:t xml:space="preserve"> dispatche via </w:t>
      </w:r>
      <w:r>
        <w:rPr>
          <w:rFonts w:ascii="Courier New" w:cs="Courier New" w:eastAsia="Courier New" w:hAnsi="Courier New"/>
          <w:sz w:val="18"/>
          <w:szCs w:val="18"/>
        </w:rPr>
        <w:t xml:space="preserve">interface{}</w:t>
      </w:r>
      <w:r>
        <w:rPr>
          <w:sz w:val="20"/>
          <w:szCs w:val="20"/>
        </w:rPr>
        <w:t xml:space="preserve"> avec un surcoût négligeable (~1 ns) face à </w:t>
      </w:r>
      <w:r>
        <w:rPr>
          <w:rFonts w:ascii="Courier New" w:cs="Courier New" w:eastAsia="Courier New" w:hAnsi="Courier New"/>
          <w:sz w:val="18"/>
          <w:szCs w:val="18"/>
        </w:rPr>
        <w:t xml:space="preserve">math.Sin</w:t>
      </w:r>
      <w:r>
        <w:rPr>
          <w:sz w:val="20"/>
          <w:szCs w:val="20"/>
        </w:rPr>
        <w:t xml:space="preserve"> (~20–40 ns). Les tableaux sont générés avec </w:t>
      </w:r>
      <w:r>
        <w:rPr>
          <w:rFonts w:ascii="Courier New" w:cs="Courier New" w:eastAsia="Courier New" w:hAnsi="Courier New"/>
          <w:sz w:val="18"/>
          <w:szCs w:val="18"/>
        </w:rPr>
        <w:t xml:space="preserve">rand.NewSource(42)</w:t>
      </w:r>
      <w:r>
        <w:rPr>
          <w:sz w:val="20"/>
          <w:szCs w:val="20"/>
        </w:rPr>
        <w:t xml:space="preserve"> pour la reproductibilité. Le biais de </w:t>
      </w:r>
      <w:r>
        <w:rPr>
          <w:rFonts w:ascii="Courier New" w:cs="Courier New" w:eastAsia="Courier New" w:hAnsi="Courier New"/>
          <w:sz w:val="18"/>
          <w:szCs w:val="18"/>
        </w:rPr>
        <w:t xml:space="preserve">rand.Intn(1001)</w:t>
      </w:r>
      <w:r>
        <w:rPr>
          <w:sz w:val="20"/>
          <w:szCs w:val="20"/>
        </w:rPr>
        <w:t xml:space="preserve"> pour les plages non puissances de deux — décrit par la méthode de Lemire (</w:t>
      </w:r>
      <w:r>
        <w:rPr>
          <w:rFonts w:ascii="Courier New" w:cs="Courier New" w:eastAsia="Courier New" w:hAnsi="Courier New"/>
          <w:sz w:val="18"/>
          <w:szCs w:val="18"/>
        </w:rPr>
        <w:t xml:space="preserve">toIntervalUnbiased</w:t>
      </w:r>
      <w:r>
        <w:rPr>
          <w:sz w:val="20"/>
          <w:szCs w:val="20"/>
        </w:rPr>
        <w:t xml:space="preserve">) — est négligeable : l'objectif est d'obtenir des données représentatives, non une distribution parfaitement uniforme. La fonction </w:t>
      </w:r>
      <w:r>
        <w:rPr>
          <w:rFonts w:ascii="Courier New" w:cs="Courier New" w:eastAsia="Courier New" w:hAnsi="Courier New"/>
          <w:sz w:val="18"/>
          <w:szCs w:val="18"/>
        </w:rPr>
        <w:t xml:space="preserve">run()</w:t>
      </w:r>
      <w:r>
        <w:rPr>
          <w:sz w:val="20"/>
          <w:szCs w:val="20"/>
        </w:rPr>
        <w:t xml:space="preserve"> retourne un struct </w:t>
      </w:r>
      <w:r>
        <w:rPr>
          <w:rFonts w:ascii="Courier New" w:cs="Courier New" w:eastAsia="Courier New" w:hAnsi="Courier New"/>
          <w:sz w:val="18"/>
          <w:szCs w:val="18"/>
        </w:rPr>
        <w:t xml:space="preserve">RunResult</w:t>
      </w:r>
      <w:r>
        <w:rPr>
          <w:sz w:val="20"/>
          <w:szCs w:val="20"/>
        </w:rPr>
        <w:t xml:space="preserve"> sans affichage ; </w:t>
      </w:r>
      <w:r>
        <w:rPr>
          <w:rFonts w:ascii="Courier New" w:cs="Courier New" w:eastAsia="Courier New" w:hAnsi="Courier New"/>
          <w:sz w:val="18"/>
          <w:szCs w:val="18"/>
        </w:rPr>
        <w:t xml:space="preserve">main()</w:t>
      </w:r>
      <w:r>
        <w:rPr>
          <w:sz w:val="20"/>
          <w:szCs w:val="20"/>
        </w:rPr>
        <w:t xml:space="preserve"> gère seule l'affichage (séparation logique/affichage).</w:t>
      </w:r>
    </w:p>
    <w:p>
      <w:pPr>
        <w:pStyle w:val="Heading1"/>
        <w:spacing w:after="100" w:before="200"/>
      </w:pPr>
      <w:r>
        <w:rPr>
          <w:b/>
          <w:bCs/>
          <w:color w:val="1a1a1a"/>
          <w:sz w:val="26"/>
          <w:szCs w:val="26"/>
        </w:rPr>
        <w:t xml:space="preserve">2. Résultats des benchmarks</w:t>
      </w:r>
    </w:p>
    <w:p>
      <w:pPr>
        <w:spacing w:after="100" w:line="276"/>
        <w:jc w:val="both"/>
      </w:pPr>
      <w:r>
        <w:rPr>
          <w:sz w:val="20"/>
          <w:szCs w:val="20"/>
        </w:rPr>
        <w:t xml:space="preserve">22 sous-benchmarks (11 paliers × 2 types) exécutés avec </w:t>
      </w:r>
      <w:r>
        <w:rPr>
          <w:rFonts w:ascii="Courier New" w:cs="Courier New" w:eastAsia="Courier New" w:hAnsi="Courier New"/>
          <w:sz w:val="18"/>
          <w:szCs w:val="18"/>
        </w:rPr>
        <w:t xml:space="preserve">go test -bench=. -benchmem -count=6</w:t>
      </w:r>
      <w:r>
        <w:rPr>
          <w:sz w:val="20"/>
          <w:szCs w:val="20"/>
        </w:rPr>
        <w:t xml:space="preserve"> sur un Intel i5-10300H à 2,50 GHz (Windows/amd64, 8 threads), analysés avec </w:t>
      </w:r>
      <w:r>
        <w:rPr>
          <w:rFonts w:ascii="Courier New" w:cs="Courier New" w:eastAsia="Courier New" w:hAnsi="Courier New"/>
          <w:sz w:val="18"/>
          <w:szCs w:val="18"/>
        </w:rPr>
        <w:t xml:space="preserve">benchstat</w:t>
      </w:r>
      <w:r>
        <w:rPr>
          <w:sz w:val="20"/>
          <w:szCs w:val="20"/>
        </w:rPr>
        <w:t xml:space="preserve"> (médianes + IC 95 %). </w:t>
      </w:r>
      <w:r>
        <w:rPr>
          <w:rFonts w:ascii="Courier New" w:cs="Courier New" w:eastAsia="Courier New" w:hAnsi="Courier New"/>
          <w:sz w:val="18"/>
          <w:szCs w:val="18"/>
        </w:rPr>
        <w:t xml:space="preserve">b.ResetTimer()</w:t>
      </w:r>
      <w:r>
        <w:rPr>
          <w:sz w:val="20"/>
          <w:szCs w:val="20"/>
        </w:rPr>
        <w:t xml:space="preserve"> exclut le setup ; </w:t>
      </w:r>
      <w:r>
        <w:rPr>
          <w:rFonts w:ascii="Courier New" w:cs="Courier New" w:eastAsia="Courier New" w:hAnsi="Courier New"/>
          <w:sz w:val="18"/>
          <w:szCs w:val="18"/>
        </w:rPr>
        <w:t xml:space="preserve">b.ReportAllocs()</w:t>
      </w:r>
      <w:r>
        <w:rPr>
          <w:sz w:val="20"/>
          <w:szCs w:val="20"/>
        </w:rPr>
        <w:t xml:space="preserve"> mesure la mémoire. Les tableaux sont pré-générés hors de </w:t>
      </w:r>
      <w:r>
        <w:rPr>
          <w:rFonts w:ascii="Courier New" w:cs="Courier New" w:eastAsia="Courier New" w:hAnsi="Courier New"/>
          <w:sz w:val="18"/>
          <w:szCs w:val="18"/>
        </w:rPr>
        <w:t xml:space="preserve">b.N</w:t>
      </w:r>
      <w:r>
        <w:rPr>
          <w:sz w:val="20"/>
          <w:szCs w:val="20"/>
        </w:rPr>
        <w:t xml:space="preserve"> pour ne pas biaiser la mesure. Résultat : </w:t>
      </w:r>
      <w:r>
        <w:rPr>
          <w:b/>
          <w:bCs/>
          <w:sz w:val="20"/>
          <w:szCs w:val="20"/>
        </w:rPr>
        <w:t xml:space="preserve">0 B/op, 0 allocs/op</w:t>
      </w:r>
      <w:r>
        <w:rPr>
          <w:sz w:val="20"/>
          <w:szCs w:val="20"/>
        </w:rPr>
        <w:t xml:space="preserve"> — la différence provient du calcul, non d'allocations cachées. 13 tests unitaires, couverture </w:t>
      </w:r>
      <w:r>
        <w:rPr>
          <w:b/>
          <w:bCs/>
          <w:sz w:val="20"/>
          <w:szCs w:val="20"/>
        </w:rPr>
        <w:t xml:space="preserve">100 %</w:t>
      </w:r>
      <w:r>
        <w:rPr>
          <w:sz w:val="20"/>
          <w:szCs w:val="20"/>
        </w:rPr>
        <w:t xml:space="preserve">.</w:t>
      </w:r>
    </w:p>
    <w:p>
      <w:pPr>
        <w:spacing w:after="60" w:before="60"/>
        <w:jc w:val="center"/>
      </w:pPr>
      <w:r>
        <w:rPr>
          <w:i/>
          <w:iCs/>
          <w:color w:val="555555"/>
          <w:sz w:val="18"/>
          <w:szCs w:val="18"/>
        </w:rPr>
        <w:t xml:space="preserve">Tableau 1 – Temps de calcul par type et pourcentage du tableau (médianes benchstat, 6 exécutions, i5-10300H)</w:t>
      </w:r>
    </w:p>
    <w:tbl>
      <w:tblPr>
        <w:tblW w:type="dxa" w:w="66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96"/>
        <w:gridCol w:w="1656"/>
        <w:gridCol w:w="1224"/>
        <w:gridCol w:w="1368"/>
        <w:gridCol w:w="1080"/>
      </w:tblGrid>
      <w:tr>
        <w:tc>
          <w:tcPr>
            <w:tcW w:type="dxa" w:w="12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% du tableau</w:t>
            </w:r>
          </w:p>
        </w:tc>
        <w:tc>
          <w:tcPr>
            <w:tcW w:type="dxa" w:w="16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Éléments</w:t>
            </w:r>
          </w:p>
        </w:tc>
        <w:tc>
          <w:tcPr>
            <w:tcW w:type="dxa" w:w="12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Int (ms)</w:t>
            </w:r>
          </w:p>
        </w:tc>
        <w:tc>
          <w:tcPr>
            <w:tcW w:type="dxa" w:w="1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Float (ms)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Ratio</w:t>
            </w:r>
          </w:p>
        </w:tc>
      </w:tr>
      <w:tr>
        <w:tc>
          <w:tcPr>
            <w:tcW w:type="dxa" w:w="12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1 %</w:t>
            </w:r>
          </w:p>
        </w:tc>
        <w:tc>
          <w:tcPr>
            <w:tcW w:type="dxa" w:w="16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10 000</w:t>
            </w:r>
          </w:p>
        </w:tc>
        <w:tc>
          <w:tcPr>
            <w:tcW w:type="dxa" w:w="12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0.44</w:t>
            </w:r>
          </w:p>
        </w:tc>
        <w:tc>
          <w:tcPr>
            <w:tcW w:type="dxa" w:w="1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0.24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1.86×</w:t>
            </w:r>
          </w:p>
        </w:tc>
      </w:tr>
      <w:tr>
        <w:tc>
          <w:tcPr>
            <w:tcW w:type="dxa" w:w="12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10 %</w:t>
            </w:r>
          </w:p>
        </w:tc>
        <w:tc>
          <w:tcPr>
            <w:tcW w:type="dxa" w:w="16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100 000</w:t>
            </w:r>
          </w:p>
        </w:tc>
        <w:tc>
          <w:tcPr>
            <w:tcW w:type="dxa" w:w="12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4.09</w:t>
            </w:r>
          </w:p>
        </w:tc>
        <w:tc>
          <w:tcPr>
            <w:tcW w:type="dxa" w:w="1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2.11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1.94×</w:t>
            </w:r>
          </w:p>
        </w:tc>
      </w:tr>
      <w:tr>
        <w:tc>
          <w:tcPr>
            <w:tcW w:type="dxa" w:w="12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20 %</w:t>
            </w:r>
          </w:p>
        </w:tc>
        <w:tc>
          <w:tcPr>
            <w:tcW w:type="dxa" w:w="16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200 000</w:t>
            </w:r>
          </w:p>
        </w:tc>
        <w:tc>
          <w:tcPr>
            <w:tcW w:type="dxa" w:w="12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8.11</w:t>
            </w:r>
          </w:p>
        </w:tc>
        <w:tc>
          <w:tcPr>
            <w:tcW w:type="dxa" w:w="1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4.24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1.91×</w:t>
            </w:r>
          </w:p>
        </w:tc>
      </w:tr>
      <w:tr>
        <w:tc>
          <w:tcPr>
            <w:tcW w:type="dxa" w:w="12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30 %</w:t>
            </w:r>
          </w:p>
        </w:tc>
        <w:tc>
          <w:tcPr>
            <w:tcW w:type="dxa" w:w="16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300 000</w:t>
            </w:r>
          </w:p>
        </w:tc>
        <w:tc>
          <w:tcPr>
            <w:tcW w:type="dxa" w:w="12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11.83</w:t>
            </w:r>
          </w:p>
        </w:tc>
        <w:tc>
          <w:tcPr>
            <w:tcW w:type="dxa" w:w="1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7.79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1.52×</w:t>
            </w:r>
          </w:p>
        </w:tc>
      </w:tr>
      <w:tr>
        <w:tc>
          <w:tcPr>
            <w:tcW w:type="dxa" w:w="12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40 %</w:t>
            </w:r>
          </w:p>
        </w:tc>
        <w:tc>
          <w:tcPr>
            <w:tcW w:type="dxa" w:w="16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400 000</w:t>
            </w:r>
          </w:p>
        </w:tc>
        <w:tc>
          <w:tcPr>
            <w:tcW w:type="dxa" w:w="12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15.52</w:t>
            </w:r>
          </w:p>
        </w:tc>
        <w:tc>
          <w:tcPr>
            <w:tcW w:type="dxa" w:w="1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8.99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1.73×</w:t>
            </w:r>
          </w:p>
        </w:tc>
      </w:tr>
      <w:tr>
        <w:tc>
          <w:tcPr>
            <w:tcW w:type="dxa" w:w="12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50 %</w:t>
            </w:r>
          </w:p>
        </w:tc>
        <w:tc>
          <w:tcPr>
            <w:tcW w:type="dxa" w:w="16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500 000</w:t>
            </w:r>
          </w:p>
        </w:tc>
        <w:tc>
          <w:tcPr>
            <w:tcW w:type="dxa" w:w="12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19.28</w:t>
            </w:r>
          </w:p>
        </w:tc>
        <w:tc>
          <w:tcPr>
            <w:tcW w:type="dxa" w:w="1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11.98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1.61×</w:t>
            </w:r>
          </w:p>
        </w:tc>
      </w:tr>
      <w:tr>
        <w:tc>
          <w:tcPr>
            <w:tcW w:type="dxa" w:w="12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60 %</w:t>
            </w:r>
          </w:p>
        </w:tc>
        <w:tc>
          <w:tcPr>
            <w:tcW w:type="dxa" w:w="16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600 000</w:t>
            </w:r>
          </w:p>
        </w:tc>
        <w:tc>
          <w:tcPr>
            <w:tcW w:type="dxa" w:w="12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22.98</w:t>
            </w:r>
          </w:p>
        </w:tc>
        <w:tc>
          <w:tcPr>
            <w:tcW w:type="dxa" w:w="1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13.61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1.69×</w:t>
            </w:r>
          </w:p>
        </w:tc>
      </w:tr>
      <w:tr>
        <w:tc>
          <w:tcPr>
            <w:tcW w:type="dxa" w:w="12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70 %</w:t>
            </w:r>
          </w:p>
        </w:tc>
        <w:tc>
          <w:tcPr>
            <w:tcW w:type="dxa" w:w="16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700 000</w:t>
            </w:r>
          </w:p>
        </w:tc>
        <w:tc>
          <w:tcPr>
            <w:tcW w:type="dxa" w:w="12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26.58</w:t>
            </w:r>
          </w:p>
        </w:tc>
        <w:tc>
          <w:tcPr>
            <w:tcW w:type="dxa" w:w="1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14.69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1.81×</w:t>
            </w:r>
          </w:p>
        </w:tc>
      </w:tr>
      <w:tr>
        <w:tc>
          <w:tcPr>
            <w:tcW w:type="dxa" w:w="12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80 %</w:t>
            </w:r>
          </w:p>
        </w:tc>
        <w:tc>
          <w:tcPr>
            <w:tcW w:type="dxa" w:w="16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800 000</w:t>
            </w:r>
          </w:p>
        </w:tc>
        <w:tc>
          <w:tcPr>
            <w:tcW w:type="dxa" w:w="12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30.94</w:t>
            </w:r>
          </w:p>
        </w:tc>
        <w:tc>
          <w:tcPr>
            <w:tcW w:type="dxa" w:w="1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16.82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1.84×</w:t>
            </w:r>
          </w:p>
        </w:tc>
      </w:tr>
      <w:tr>
        <w:tc>
          <w:tcPr>
            <w:tcW w:type="dxa" w:w="12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90 %</w:t>
            </w:r>
          </w:p>
        </w:tc>
        <w:tc>
          <w:tcPr>
            <w:tcW w:type="dxa" w:w="16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900 000</w:t>
            </w:r>
          </w:p>
        </w:tc>
        <w:tc>
          <w:tcPr>
            <w:tcW w:type="dxa" w:w="12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34.78</w:t>
            </w:r>
          </w:p>
        </w:tc>
        <w:tc>
          <w:tcPr>
            <w:tcW w:type="dxa" w:w="1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18.96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1.83×</w:t>
            </w:r>
          </w:p>
        </w:tc>
      </w:tr>
      <w:tr>
        <w:tc>
          <w:tcPr>
            <w:tcW w:type="dxa" w:w="12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100 %</w:t>
            </w:r>
          </w:p>
        </w:tc>
        <w:tc>
          <w:tcPr>
            <w:tcW w:type="dxa" w:w="16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1 000 000</w:t>
            </w:r>
          </w:p>
        </w:tc>
        <w:tc>
          <w:tcPr>
            <w:tcW w:type="dxa" w:w="12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38.71</w:t>
            </w:r>
          </w:p>
        </w:tc>
        <w:tc>
          <w:tcPr>
            <w:tcW w:type="dxa" w:w="1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20.93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1.85×</w:t>
            </w:r>
          </w:p>
        </w:tc>
      </w:tr>
    </w:tbl>
    <w:p>
      <w:pPr>
        <w:spacing w:after="80"/>
      </w:pPr>
    </w:p>
    <w:p>
      <w:pPr>
        <w:spacing w:after="60" w:before="60"/>
        <w:jc w:val="center"/>
      </w:pPr>
      <w:r>
        <w:rPr>
          <w:i/>
          <w:iCs/>
          <w:color w:val="555555"/>
          <w:sz w:val="18"/>
          <w:szCs w:val="18"/>
        </w:rPr>
        <w:t xml:space="preserve">Graphique 1 – Temps de calcul : Int vs Float (1 000 000 éléments)</w:t>
      </w:r>
    </w:p>
    <w:p>
      <w:pPr>
        <w:spacing w:after="40"/>
        <w:jc w:val="center"/>
      </w:pPr>
      <w:r>
        <w:drawing>
          <wp:inline distT="0" distB="0" distL="0" distR="0">
            <wp:extent cx="4429125" cy="2333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9125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i/>
          <w:iCs/>
          <w:color w:val="555555"/>
          <w:sz w:val="17"/>
          <w:szCs w:val="17"/>
        </w:rPr>
        <w:t xml:space="preserve">Courbe mauve claire = Int (conversion float64)  ·  Courbe foncée = Float (sans conversion)</w:t>
      </w:r>
    </w:p>
    <w:p>
      <w:pPr>
        <w:pStyle w:val="Heading1"/>
        <w:spacing w:after="100" w:before="200"/>
      </w:pPr>
      <w:r>
        <w:rPr>
          <w:b/>
          <w:bCs/>
          <w:color w:val="1a1a1a"/>
          <w:sz w:val="26"/>
          <w:szCs w:val="26"/>
        </w:rPr>
        <w:t xml:space="preserve">3. Analyse des résultats</w:t>
      </w:r>
    </w:p>
    <w:p>
      <w:pPr>
        <w:pStyle w:val="Heading2"/>
        <w:spacing w:after="80" w:before="160"/>
      </w:pPr>
      <w:r>
        <w:rPr>
          <w:b/>
          <w:bCs/>
          <w:color w:val="333333"/>
          <w:sz w:val="22"/>
          <w:szCs w:val="22"/>
        </w:rPr>
        <w:t xml:space="preserve">Complexité et écart Int/Float</w:t>
      </w:r>
    </w:p>
    <w:p>
      <w:pPr>
        <w:spacing w:after="100" w:line="276"/>
        <w:jc w:val="both"/>
      </w:pPr>
      <w:r>
        <w:rPr>
          <w:sz w:val="20"/>
          <w:szCs w:val="20"/>
        </w:rPr>
        <w:t xml:space="preserve">Les flottants sont </w:t>
      </w:r>
      <w:r>
        <w:rPr>
          <w:b/>
          <w:bCs/>
          <w:sz w:val="20"/>
          <w:szCs w:val="20"/>
        </w:rPr>
        <w:t xml:space="preserve">1,5 à 1,9× plus rapides</w:t>
      </w:r>
      <w:r>
        <w:rPr>
          <w:sz w:val="20"/>
          <w:szCs w:val="20"/>
        </w:rPr>
        <w:t xml:space="preserve">. De 50 % à 100 %, le temps double presque exactement (19,28 → 38,71 ms pour Int ; 11,98 → 20,93 ms pour Float), confirmant la complexité </w:t>
      </w:r>
      <w:r>
        <w:rPr>
          <w:b/>
          <w:bCs/>
          <w:sz w:val="20"/>
          <w:szCs w:val="20"/>
        </w:rPr>
        <w:t xml:space="preserve">O(n)</w:t>
      </w:r>
      <w:r>
        <w:rPr>
          <w:sz w:val="20"/>
          <w:szCs w:val="20"/>
        </w:rPr>
        <w:t xml:space="preserve">. L'écart provient de la conversion </w:t>
      </w:r>
      <w:r>
        <w:rPr>
          <w:rFonts w:ascii="Courier New" w:cs="Courier New" w:eastAsia="Courier New" w:hAnsi="Courier New"/>
          <w:sz w:val="18"/>
          <w:szCs w:val="18"/>
        </w:rPr>
        <w:t xml:space="preserve">float64(v)</w:t>
      </w:r>
      <w:r>
        <w:rPr>
          <w:sz w:val="20"/>
          <w:szCs w:val="20"/>
        </w:rPr>
        <w:t xml:space="preserve"> à chaque itération, et du coût de réduction d'argument de </w:t>
      </w:r>
      <w:r>
        <w:rPr>
          <w:rFonts w:ascii="Courier New" w:cs="Courier New" w:eastAsia="Courier New" w:hAnsi="Courier New"/>
          <w:sz w:val="18"/>
          <w:szCs w:val="18"/>
        </w:rPr>
        <w:t xml:space="preserve">math.Sin</w:t>
      </w:r>
      <w:r>
        <w:rPr>
          <w:sz w:val="20"/>
          <w:szCs w:val="20"/>
        </w:rPr>
        <w:t xml:space="preserve"> pour les grands entiers (ex. : sin(500) réduit ~79 tours modulo 2π), alors que les flottants dans [0, 1) se situent déjà dans le domaine principal. Les IC à ±1 % aux paliers 90–100 % confirment la stabilité des mesures.</w:t>
      </w:r>
    </w:p>
    <w:p>
      <w:pPr>
        <w:pStyle w:val="Heading2"/>
        <w:spacing w:after="80" w:before="160"/>
      </w:pPr>
      <w:r>
        <w:rPr>
          <w:b/>
          <w:bCs/>
          <w:color w:val="333333"/>
          <w:sz w:val="22"/>
          <w:szCs w:val="22"/>
        </w:rPr>
        <w:t xml:space="preserve">Hiérarchie mémoire — L1/L2/L3</w:t>
      </w:r>
    </w:p>
    <w:p>
      <w:pPr>
        <w:spacing w:after="100" w:line="276"/>
        <w:jc w:val="both"/>
      </w:pPr>
      <w:r>
        <w:rPr>
          <w:sz w:val="20"/>
          <w:szCs w:val="20"/>
        </w:rPr>
        <w:t xml:space="preserve">L'i5-10300H dispose de </w:t>
      </w:r>
      <w:r>
        <w:rPr>
          <w:b/>
          <w:bCs/>
          <w:sz w:val="20"/>
          <w:szCs w:val="20"/>
        </w:rPr>
        <w:t xml:space="preserve">L1 = 256 KB, L2 = 1 MB, L3 = 8 MB</w:t>
      </w:r>
      <w:r>
        <w:rPr>
          <w:sz w:val="20"/>
          <w:szCs w:val="20"/>
        </w:rPr>
        <w:t xml:space="preserve">. Les petits paliers (1–10 %, 80–800 KB) tiennent entièrement en L2 ; le palier 30 % (~2,4 MB) dépasse le L2 et sollicite le L3 ; le tableau complet (1 000 000 × 8 octets = </w:t>
      </w:r>
      <w:r>
        <w:rPr>
          <w:b/>
          <w:bCs/>
          <w:sz w:val="20"/>
          <w:szCs w:val="20"/>
        </w:rPr>
        <w:t xml:space="preserve">8 MB</w:t>
      </w:r>
      <w:r>
        <w:rPr>
          <w:sz w:val="20"/>
          <w:szCs w:val="20"/>
        </w:rPr>
        <w:t xml:space="preserve">) atteint exactement la limite du L3, limitant les accès par la bande passante. Les benchmarks Float étant plus courts, la latence mémoire y représente une fraction relative plus grande — ce qui amplifie la variabilité observée aux paliers 30 % et 70 % (±7 % vs ±1 % pour Int/100 %).</w:t>
      </w:r>
    </w:p>
    <w:p>
      <w:pPr>
        <w:pStyle w:val="Heading2"/>
        <w:spacing w:after="80" w:before="160"/>
      </w:pPr>
      <w:r>
        <w:rPr>
          <w:b/>
          <w:bCs/>
          <w:color w:val="333333"/>
          <w:sz w:val="22"/>
          <w:szCs w:val="22"/>
        </w:rPr>
        <w:t xml:space="preserve">Mécanismes micro-architecturaux</w:t>
      </w:r>
    </w:p>
    <w:p>
      <w:pPr>
        <w:spacing w:after="100" w:line="276"/>
        <w:jc w:val="both"/>
      </w:pPr>
      <w:r>
        <w:rPr>
          <w:b/>
          <w:bCs/>
          <w:sz w:val="20"/>
          <w:szCs w:val="20"/>
        </w:rPr>
        <w:t xml:space="preserve">Inlining. </w:t>
      </w:r>
      <w:r>
        <w:rPr>
          <w:rFonts w:ascii="Courier New" w:cs="Courier New" w:eastAsia="Courier New" w:hAnsi="Courier New"/>
          <w:sz w:val="18"/>
          <w:szCs w:val="18"/>
        </w:rPr>
        <w:t xml:space="preserve">go build -gcflags=-m</w:t>
      </w:r>
      <w:r>
        <w:rPr>
          <w:sz w:val="20"/>
          <w:szCs w:val="20"/>
        </w:rPr>
        <w:t xml:space="preserve"> confirme que </w:t>
      </w:r>
      <w:r>
        <w:rPr>
          <w:rFonts w:ascii="Courier New" w:cs="Courier New" w:eastAsia="Courier New" w:hAnsi="Courier New"/>
          <w:sz w:val="18"/>
          <w:szCs w:val="18"/>
        </w:rPr>
        <w:t xml:space="preserve">math.Sin</w:t>
      </w:r>
      <w:r>
        <w:rPr>
          <w:sz w:val="20"/>
          <w:szCs w:val="20"/>
        </w:rPr>
        <w:t xml:space="preserve"> est inliné aux lignes 40 et 49 de </w:t>
      </w:r>
      <w:r>
        <w:rPr>
          <w:rFonts w:ascii="Courier New" w:cs="Courier New" w:eastAsia="Courier New" w:hAnsi="Courier New"/>
          <w:sz w:val="18"/>
          <w:szCs w:val="18"/>
        </w:rPr>
        <w:t xml:space="preserve">sinesum.go</w:t>
      </w:r>
      <w:r>
        <w:rPr>
          <w:sz w:val="20"/>
          <w:szCs w:val="20"/>
        </w:rPr>
        <w:t xml:space="preserve">, éliminant le surcoût d'appel et rendant le coût par itération strictement déterministe. </w:t>
      </w:r>
      <w:r>
        <w:rPr>
          <w:b/>
          <w:bCs/>
          <w:sz w:val="20"/>
          <w:szCs w:val="20"/>
        </w:rPr>
        <w:t xml:space="preserve">Dépendance de données. </w:t>
      </w:r>
      <w:r>
        <w:rPr>
          <w:sz w:val="20"/>
          <w:szCs w:val="20"/>
        </w:rPr>
        <w:t xml:space="preserve">La boucle </w:t>
      </w:r>
      <w:r>
        <w:rPr>
          <w:rFonts w:ascii="Courier New" w:cs="Courier New" w:eastAsia="Courier New" w:hAnsi="Courier New"/>
          <w:sz w:val="18"/>
          <w:szCs w:val="18"/>
        </w:rPr>
        <w:t xml:space="preserve">sum += math.Sin(v)</w:t>
      </w:r>
      <w:r>
        <w:rPr>
          <w:sz w:val="20"/>
          <w:szCs w:val="20"/>
        </w:rPr>
        <w:t xml:space="preserve"> crée une dépendance séquentielle sur l'accumulateur — identique à l'exemple </w:t>
      </w:r>
      <w:r>
        <w:rPr>
          <w:rFonts w:ascii="Courier New" w:cs="Courier New" w:eastAsia="Courier New" w:hAnsi="Courier New"/>
          <w:sz w:val="18"/>
          <w:szCs w:val="18"/>
        </w:rPr>
        <w:t xml:space="preserve">prefixSum</w:t>
      </w:r>
      <w:r>
        <w:rPr>
          <w:sz w:val="20"/>
          <w:szCs w:val="20"/>
        </w:rPr>
        <w:t xml:space="preserve"> du ch. 6 — qui empêche le pipeline de paralléliser les additions. Les appels </w:t>
      </w:r>
      <w:r>
        <w:rPr>
          <w:rFonts w:ascii="Courier New" w:cs="Courier New" w:eastAsia="Courier New" w:hAnsi="Courier New"/>
          <w:sz w:val="18"/>
          <w:szCs w:val="18"/>
        </w:rPr>
        <w:t xml:space="preserve">math.Sin(v)</w:t>
      </w:r>
      <w:r>
        <w:rPr>
          <w:sz w:val="20"/>
          <w:szCs w:val="20"/>
        </w:rPr>
        <w:t xml:space="preserve"> pour des </w:t>
      </w:r>
      <w:r>
        <w:rPr>
          <w:rFonts w:ascii="Courier New" w:cs="Courier New" w:eastAsia="Courier New" w:hAnsi="Courier New"/>
          <w:sz w:val="18"/>
          <w:szCs w:val="18"/>
        </w:rPr>
        <w:t xml:space="preserve">v</w:t>
      </w:r>
      <w:r>
        <w:rPr>
          <w:sz w:val="20"/>
          <w:szCs w:val="20"/>
        </w:rPr>
        <w:t xml:space="preserve"> différents sont indépendants et pipelinables (exécution dans le désordre), mais ce gain est limité par la latence intrinsèque de </w:t>
      </w:r>
      <w:r>
        <w:rPr>
          <w:rFonts w:ascii="Courier New" w:cs="Courier New" w:eastAsia="Courier New" w:hAnsi="Courier New"/>
          <w:sz w:val="18"/>
          <w:szCs w:val="18"/>
        </w:rPr>
        <w:t xml:space="preserve">math.Sin</w:t>
      </w:r>
      <w:r>
        <w:rPr>
          <w:sz w:val="20"/>
          <w:szCs w:val="20"/>
        </w:rPr>
        <w:t xml:space="preserve">. Plusieurs accumulateurs fusionnés en fin de calcul constitueraient la principale piste d'optimisation.</w:t>
      </w:r>
    </w:p>
    <w:p>
      <w:pPr>
        <w:pStyle w:val="Heading1"/>
        <w:spacing w:after="100" w:before="200"/>
      </w:pPr>
      <w:r>
        <w:rPr>
          <w:b/>
          <w:bCs/>
          <w:color w:val="1a1a1a"/>
          <w:sz w:val="26"/>
          <w:szCs w:val="26"/>
        </w:rPr>
        <w:t xml:space="preserve">4. Applications numériques</w:t>
      </w:r>
    </w:p>
    <w:p>
      <w:pPr>
        <w:spacing w:after="100" w:line="276"/>
        <w:jc w:val="both"/>
      </w:pPr>
      <w:r>
        <w:rPr>
          <w:sz w:val="20"/>
          <w:szCs w:val="20"/>
        </w:rPr>
        <w:t xml:space="preserve">Temps par sinus (médiane benchstat à 100 %) : Int = 38 710 000 ns ÷ 1 000 000 = </w:t>
      </w:r>
      <w:r>
        <w:rPr>
          <w:b/>
          <w:bCs/>
          <w:sz w:val="20"/>
          <w:szCs w:val="20"/>
        </w:rPr>
        <w:t xml:space="preserve">38,7 ns</w:t>
      </w:r>
      <w:r>
        <w:rPr>
          <w:sz w:val="20"/>
          <w:szCs w:val="20"/>
        </w:rPr>
        <w:t xml:space="preserve"> ; Float = 20 930 000 ns ÷ 1 000 000 = </w:t>
      </w:r>
      <w:r>
        <w:rPr>
          <w:b/>
          <w:bCs/>
          <w:sz w:val="20"/>
          <w:szCs w:val="20"/>
        </w:rPr>
        <w:t xml:space="preserve">20,9 ns</w:t>
      </w:r>
      <w:r>
        <w:rPr>
          <w:sz w:val="20"/>
          <w:szCs w:val="20"/>
        </w:rPr>
        <w:t xml:space="preserve">.</w:t>
      </w:r>
    </w:p>
    <w:p>
      <w:pPr>
        <w:pStyle w:val="Heading2"/>
        <w:spacing w:after="80" w:before="160"/>
      </w:pPr>
      <w:r>
        <w:rPr>
          <w:b/>
          <w:bCs/>
          <w:color w:val="333333"/>
          <w:sz w:val="22"/>
          <w:szCs w:val="22"/>
        </w:rPr>
        <w:t xml:space="preserve">Q1 — Distance parcourue par la lumière pendant un sinus</w:t>
      </w:r>
    </w:p>
    <w:p>
      <w:pPr>
        <w:spacing w:after="100" w:line="276"/>
        <w:jc w:val="both"/>
      </w:pPr>
      <w:r>
        <w:rPr>
          <w:sz w:val="20"/>
          <w:szCs w:val="20"/>
        </w:rPr>
        <w:t xml:space="preserve">c = 299 792 458 m/s</w:t>
      </w:r>
    </w:p>
    <w:tbl>
      <w:tblPr>
        <w:tblW w:type="dxa" w:w="64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1152"/>
        <w:gridCol w:w="3096"/>
        <w:gridCol w:w="1296"/>
      </w:tblGrid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1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Temps</w:t>
            </w:r>
          </w:p>
        </w:tc>
        <w:tc>
          <w:tcPr>
            <w:tcW w:type="dxa" w:w="30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Calcul</w:t>
            </w:r>
          </w:p>
        </w:tc>
        <w:tc>
          <w:tcPr>
            <w:tcW w:type="dxa" w:w="12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Distance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11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38,7 ns</w:t>
            </w:r>
          </w:p>
        </w:tc>
        <w:tc>
          <w:tcPr>
            <w:tcW w:type="dxa" w:w="30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299 792 458 × 38,7 / 10⁹</w:t>
            </w:r>
          </w:p>
        </w:tc>
        <w:tc>
          <w:tcPr>
            <w:tcW w:type="dxa" w:w="12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≈ 11,6 m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Float</w:t>
            </w:r>
          </w:p>
        </w:tc>
        <w:tc>
          <w:tcPr>
            <w:tcW w:type="dxa" w:w="11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20,9 ns</w:t>
            </w:r>
          </w:p>
        </w:tc>
        <w:tc>
          <w:tcPr>
            <w:tcW w:type="dxa" w:w="30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299 792 458 × 20,9 / 10⁹</w:t>
            </w:r>
          </w:p>
        </w:tc>
        <w:tc>
          <w:tcPr>
            <w:tcW w:type="dxa" w:w="12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≈ 6,3 m</w:t>
            </w:r>
          </w:p>
        </w:tc>
      </w:tr>
    </w:tbl>
    <w:p>
      <w:pPr>
        <w:spacing w:after="60"/>
      </w:pPr>
    </w:p>
    <w:p>
      <w:pPr>
        <w:spacing w:after="100" w:line="276"/>
        <w:jc w:val="both"/>
      </w:pPr>
      <w:r>
        <w:rPr>
          <w:i/>
          <w:iCs/>
          <w:sz w:val="20"/>
          <w:szCs w:val="20"/>
        </w:rPr>
        <w:t xml:space="preserve">La lumière parcourt entre 6 et 12 mètres pendant un seul calcul de sinus.</w:t>
      </w:r>
    </w:p>
    <w:p>
      <w:pPr>
        <w:pStyle w:val="Heading2"/>
        <w:spacing w:after="80" w:before="160"/>
      </w:pPr>
      <w:r>
        <w:rPr>
          <w:b/>
          <w:bCs/>
          <w:color w:val="333333"/>
          <w:sz w:val="22"/>
          <w:szCs w:val="22"/>
        </w:rPr>
        <w:t xml:space="preserve">Q2 — Nombre de sinus par tick à 120 fps</w:t>
      </w:r>
    </w:p>
    <w:p>
      <w:pPr>
        <w:spacing w:after="100" w:line="276"/>
        <w:jc w:val="both"/>
      </w:pPr>
      <w:r>
        <w:rPr>
          <w:sz w:val="20"/>
          <w:szCs w:val="20"/>
        </w:rPr>
        <w:t xml:space="preserve">Durée d'un tick : 1 / 120 = 8 333 333 ns.</w:t>
      </w:r>
    </w:p>
    <w:tbl>
      <w:tblPr>
        <w:tblW w:type="dxa" w:w="63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1368"/>
        <w:gridCol w:w="2736"/>
        <w:gridCol w:w="1296"/>
      </w:tblGrid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Temps/sinus</w:t>
            </w:r>
          </w:p>
        </w:tc>
        <w:tc>
          <w:tcPr>
            <w:tcW w:type="dxa" w:w="27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Calcul</w:t>
            </w:r>
          </w:p>
        </w:tc>
        <w:tc>
          <w:tcPr>
            <w:tcW w:type="dxa" w:w="12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Sinus/tick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1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38,7 ns</w:t>
            </w:r>
          </w:p>
        </w:tc>
        <w:tc>
          <w:tcPr>
            <w:tcW w:type="dxa" w:w="27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8 333 333 / 38,7</w:t>
            </w:r>
          </w:p>
        </w:tc>
        <w:tc>
          <w:tcPr>
            <w:tcW w:type="dxa" w:w="12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≈ 215 333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Float</w:t>
            </w:r>
          </w:p>
        </w:tc>
        <w:tc>
          <w:tcPr>
            <w:tcW w:type="dxa" w:w="1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20,9 ns</w:t>
            </w:r>
          </w:p>
        </w:tc>
        <w:tc>
          <w:tcPr>
            <w:tcW w:type="dxa" w:w="27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8 333 333 / 20,9</w:t>
            </w:r>
          </w:p>
        </w:tc>
        <w:tc>
          <w:tcPr>
            <w:tcW w:type="dxa" w:w="12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≈ 398 726</w:t>
            </w:r>
          </w:p>
        </w:tc>
      </w:tr>
    </w:tbl>
    <w:p>
      <w:pPr>
        <w:spacing w:after="60"/>
      </w:pPr>
    </w:p>
    <w:p>
      <w:pPr>
        <w:spacing w:after="100" w:line="276"/>
        <w:jc w:val="both"/>
      </w:pPr>
      <w:r>
        <w:rPr>
          <w:i/>
          <w:iCs/>
          <w:sz w:val="20"/>
          <w:szCs w:val="20"/>
        </w:rPr>
        <w:t xml:space="preserve">Environ 215 000 (Int) ou 399 000 (Float) sinus par frame à 120 fps — marge confortable pour des effets visuels simples.</w:t>
      </w:r>
    </w:p>
    <w:p>
      <w:pPr>
        <w:pStyle w:val="Heading1"/>
        <w:spacing w:after="100" w:before="200"/>
      </w:pPr>
      <w:r>
        <w:rPr>
          <w:b/>
          <w:bCs/>
          <w:color w:val="1a1a1a"/>
          <w:sz w:val="26"/>
          <w:szCs w:val="26"/>
        </w:rPr>
        <w:t xml:space="preserve">5. Conclusion</w:t>
      </w:r>
    </w:p>
    <w:p>
      <w:pPr>
        <w:spacing w:after="100" w:line="276"/>
        <w:jc w:val="both"/>
      </w:pPr>
      <w:r>
        <w:rPr>
          <w:sz w:val="20"/>
          <w:szCs w:val="20"/>
        </w:rPr>
        <w:t xml:space="preserve">Les flottants sont </w:t>
      </w:r>
      <w:r>
        <w:rPr>
          <w:b/>
          <w:bCs/>
          <w:sz w:val="20"/>
          <w:szCs w:val="20"/>
        </w:rPr>
        <w:t xml:space="preserve">1,85× plus rapides</w:t>
      </w:r>
      <w:r>
        <w:rPr>
          <w:sz w:val="20"/>
          <w:szCs w:val="20"/>
        </w:rPr>
        <w:t xml:space="preserve"> que les entiers, principalement en raison de la conversion </w:t>
      </w:r>
      <w:r>
        <w:rPr>
          <w:rFonts w:ascii="Courier New" w:cs="Courier New" w:eastAsia="Courier New" w:hAnsi="Courier New"/>
          <w:sz w:val="18"/>
          <w:szCs w:val="18"/>
        </w:rPr>
        <w:t xml:space="preserve">float64(v)</w:t>
      </w:r>
      <w:r>
        <w:rPr>
          <w:sz w:val="20"/>
          <w:szCs w:val="20"/>
        </w:rPr>
        <w:t xml:space="preserve"> et de la réduction d'argument de </w:t>
      </w:r>
      <w:r>
        <w:rPr>
          <w:rFonts w:ascii="Courier New" w:cs="Courier New" w:eastAsia="Courier New" w:hAnsi="Courier New"/>
          <w:sz w:val="18"/>
          <w:szCs w:val="18"/>
        </w:rPr>
        <w:t xml:space="preserve">math.Sin</w:t>
      </w:r>
      <w:r>
        <w:rPr>
          <w:sz w:val="20"/>
          <w:szCs w:val="20"/>
        </w:rPr>
        <w:t xml:space="preserve"> pour les grands entiers. La complexité O(n) est confirmée empiriquement, et aucune allocation mémoire n'est détectée (0 B/op). L'utilisation de </w:t>
      </w:r>
      <w:r>
        <w:rPr>
          <w:rFonts w:ascii="Courier New" w:cs="Courier New" w:eastAsia="Courier New" w:hAnsi="Courier New"/>
          <w:sz w:val="18"/>
          <w:szCs w:val="18"/>
        </w:rPr>
        <w:t xml:space="preserve">testing.B</w:t>
      </w:r>
      <w:r>
        <w:rPr>
          <w:sz w:val="20"/>
          <w:szCs w:val="20"/>
        </w:rPr>
        <w:t xml:space="preserve"> avec </w:t>
      </w:r>
      <w:r>
        <w:rPr>
          <w:rFonts w:ascii="Courier New" w:cs="Courier New" w:eastAsia="Courier New" w:hAnsi="Courier New"/>
          <w:sz w:val="18"/>
          <w:szCs w:val="18"/>
        </w:rPr>
        <w:t xml:space="preserve">benchstat</w:t>
      </w:r>
      <w:r>
        <w:rPr>
          <w:sz w:val="20"/>
          <w:szCs w:val="20"/>
        </w:rPr>
        <w:t xml:space="preserve"> sur 6 exécutions produit des médianes fiables (±1 % aux paliers 90–100 %), bien supérieures à une mesure par </w:t>
      </w:r>
      <w:r>
        <w:rPr>
          <w:rFonts w:ascii="Courier New" w:cs="Courier New" w:eastAsia="Courier New" w:hAnsi="Courier New"/>
          <w:sz w:val="18"/>
          <w:szCs w:val="18"/>
        </w:rPr>
        <w:t xml:space="preserve">time.Since</w:t>
      </w:r>
      <w:r>
        <w:rPr>
          <w:sz w:val="20"/>
          <w:szCs w:val="20"/>
        </w:rPr>
        <w:t xml:space="preserve">. La vérification par </w:t>
      </w:r>
      <w:r>
        <w:rPr>
          <w:rFonts w:ascii="Courier New" w:cs="Courier New" w:eastAsia="Courier New" w:hAnsi="Courier New"/>
          <w:sz w:val="18"/>
          <w:szCs w:val="18"/>
        </w:rPr>
        <w:t xml:space="preserve">go build -gcflags=-m</w:t>
      </w:r>
      <w:r>
        <w:rPr>
          <w:sz w:val="20"/>
          <w:szCs w:val="20"/>
        </w:rPr>
        <w:t xml:space="preserve"> révèle l'inlining de </w:t>
      </w:r>
      <w:r>
        <w:rPr>
          <w:rFonts w:ascii="Courier New" w:cs="Courier New" w:eastAsia="Courier New" w:hAnsi="Courier New"/>
          <w:sz w:val="18"/>
          <w:szCs w:val="18"/>
        </w:rPr>
        <w:t xml:space="preserve">math.Sin</w:t>
      </w:r>
      <w:r>
        <w:rPr>
          <w:sz w:val="20"/>
          <w:szCs w:val="20"/>
        </w:rPr>
        <w:t xml:space="preserve">, rendant les mesures représentatives du pur coût de calcul.</w:t>
      </w:r>
    </w:p>
    <w:p>
      <w:pPr>
        <w:pBdr>
          <w:bottom w:val="single" w:color="CCCCCC" w:sz="4"/>
        </w:pBdr>
        <w:spacing w:after="80" w:before="80"/>
      </w:pPr>
    </w:p>
    <w:p>
      <w:pPr>
        <w:pStyle w:val="Heading2"/>
        <w:spacing w:after="80" w:before="160"/>
      </w:pPr>
      <w:r>
        <w:rPr>
          <w:b/>
          <w:bCs/>
          <w:color w:val="333333"/>
          <w:sz w:val="22"/>
          <w:szCs w:val="22"/>
        </w:rPr>
        <w:t xml:space="preserve">Références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18"/>
          <w:szCs w:val="18"/>
        </w:rPr>
        <w:t xml:space="preserve">Documentation Go : math/rand, testing, flag — https://pkg.go.dev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18"/>
          <w:szCs w:val="18"/>
        </w:rPr>
        <w:t xml:space="preserve">Lemire, D. (2019). Fast random integer generation in an interval. ACM Transactions on Modeling and Computer Simulation.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18"/>
          <w:szCs w:val="18"/>
        </w:rPr>
        <w:t xml:space="preserve">Documentation Mermaid XY Chart — https://mermaid.js.org/syntax/xyChart.html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18"/>
          <w:szCs w:val="18"/>
        </w:rPr>
        <w:t xml:space="preserve">Dépôt GitHub : github.com/moyamelissa/Advanced-Programming/tree/main/TN4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18"/>
          <w:szCs w:val="18"/>
        </w:rPr>
        <w:t xml:space="preserve">GitHub Copilot utilisé comme assistant avec vérification systématique des suggestions.</w:t>
      </w:r>
    </w:p>
    <w:sectPr>
      <w:pgSz w:w="12240" w:h="15840" w:orient="portrait"/>
      <w:pgMar w:top="1224" w:right="1440" w:bottom="1224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a1a1a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7919e1e731d45608bd8ed78f94de754b2576455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2026-05-10T20:44:54.442Z</dcterms:created>
  <dcterms:modified xsi:type="dcterms:W3CDTF">2026-05-10T20:44:54.453Z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