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Calibri" w:hAnsi="Calibri" w:eastAsia="SimHei"/>
          <w:b/>
          <w:color w:val="000000"/>
          <w:sz w:val="36"/>
          <w:u w:val="none"/>
        </w:rPr>
        <w:t>ResNet101 拉通统一训练诊断实验报告</w:t>
      </w:r>
    </w:p>
    <w:p>
      <w:pPr>
        <w:spacing w:after="120"/>
      </w:pPr>
      <w:r>
        <w:rPr>
          <w:rFonts w:ascii="Calibri" w:hAnsi="Calibri" w:eastAsia="SimSun"/>
          <w:b w:val="0"/>
          <w:sz w:val="22"/>
        </w:rPr>
        <w:t>实验目的：检验子领域模型在 OpenMMSecV2 四域拉通数据上统一训练是否正常收敛，并采集特征秩与梯度冲突两份诊断数据，供导师判断训练有无问题。</w:t>
      </w:r>
    </w:p>
    <w:p>
      <w:pPr>
        <w:spacing w:after="120"/>
      </w:pPr>
      <w:r>
        <w:rPr>
          <w:rFonts w:ascii="Calibri" w:hAnsi="Calibri" w:eastAsia="SimSun"/>
          <w:b w:val="0"/>
          <w:sz w:val="22"/>
        </w:rPr>
        <w:t>主要情况：ResNet101 共训练 10 个 epoch 并完整跑完，训练损失从约 0.70 降至 0.32，训练过程无崩溃中断；两份诊断数据（80 个诊断步的梯度日志、10 期冻结特征及终版特征）均已产出，数据齐备。</w:t>
      </w:r>
    </w:p>
    <w:p>
      <w:pPr>
        <w:pStyle w:val="Heading1"/>
      </w:pPr>
      <w:r>
        <w:t>1 实验配置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</w:tcPr>
          <w:p>
            <w:r/>
            <w:r>
              <w:rPr>
                <w:rFonts w:ascii="Calibri" w:hAnsi="Calibri" w:eastAsia="SimSun"/>
                <w:b/>
                <w:sz w:val="21"/>
              </w:rPr>
              <w:t>项目</w:t>
            </w:r>
          </w:p>
        </w:tc>
        <w:tc>
          <w:tcPr>
            <w:tcW w:type="dxa" w:w="4153"/>
          </w:tcPr>
          <w:p>
            <w:r/>
            <w:r>
              <w:rPr>
                <w:rFonts w:ascii="Calibri" w:hAnsi="Calibri" w:eastAsia="SimSun"/>
                <w:b/>
                <w:sz w:val="21"/>
              </w:rPr>
              <w:t>取值</w:t>
            </w:r>
          </w:p>
        </w:tc>
      </w:tr>
      <w:tr>
        <w:tc>
          <w:tcPr>
            <w:tcW w:type="dxa" w:w="4153"/>
          </w:tcPr>
          <w:p>
            <w:r/>
            <w:r>
              <w:rPr>
                <w:rFonts w:ascii="Calibri" w:hAnsi="Calibri" w:eastAsia="SimSun"/>
                <w:b w:val="0"/>
                <w:sz w:val="21"/>
              </w:rPr>
              <w:t>模型</w:t>
            </w:r>
          </w:p>
        </w:tc>
        <w:tc>
          <w:tcPr>
            <w:tcW w:type="dxa" w:w="4153"/>
          </w:tcPr>
          <w:p>
            <w:r/>
            <w:r>
              <w:rPr>
                <w:rFonts w:ascii="Calibri" w:hAnsi="Calibri" w:eastAsia="SimSun"/>
                <w:b w:val="0"/>
                <w:sz w:val="21"/>
              </w:rPr>
              <w:t>ResNet101（ForensicHub 注册名，44.6M 参数）</w:t>
            </w:r>
          </w:p>
        </w:tc>
      </w:tr>
      <w:tr>
        <w:tc>
          <w:tcPr>
            <w:tcW w:type="dxa" w:w="4153"/>
          </w:tcPr>
          <w:p>
            <w:r/>
            <w:r>
              <w:rPr>
                <w:rFonts w:ascii="Calibri" w:hAnsi="Calibri" w:eastAsia="SimSun"/>
                <w:b w:val="0"/>
                <w:sz w:val="21"/>
              </w:rPr>
              <w:t>初始化</w:t>
            </w:r>
          </w:p>
        </w:tc>
        <w:tc>
          <w:tcPr>
            <w:tcW w:type="dxa" w:w="4153"/>
          </w:tcPr>
          <w:p>
            <w:r/>
            <w:r>
              <w:rPr>
                <w:rFonts w:ascii="Calibri" w:hAnsi="Calibri" w:eastAsia="SimSun"/>
                <w:b w:val="0"/>
                <w:sz w:val="21"/>
              </w:rPr>
              <w:t>随机初始化（远程无网，timm 预训练权重无法下载）</w:t>
            </w:r>
          </w:p>
        </w:tc>
      </w:tr>
      <w:tr>
        <w:tc>
          <w:tcPr>
            <w:tcW w:type="dxa" w:w="4153"/>
          </w:tcPr>
          <w:p>
            <w:r/>
            <w:r>
              <w:rPr>
                <w:rFonts w:ascii="Calibri" w:hAnsi="Calibri" w:eastAsia="SimSun"/>
                <w:b w:val="0"/>
                <w:sz w:val="21"/>
              </w:rPr>
              <w:t>训练数据</w:t>
            </w:r>
          </w:p>
        </w:tc>
        <w:tc>
          <w:tcPr>
            <w:tcW w:type="dxa" w:w="4153"/>
          </w:tcPr>
          <w:p>
            <w:r/>
            <w:r>
              <w:rPr>
                <w:rFonts w:ascii="Calibri" w:hAnsi="Calibri" w:eastAsia="SimSun"/>
                <w:b w:val="0"/>
                <w:sz w:val="21"/>
              </w:rPr>
              <w:t>OpenMMSecV2 train.json，共 81632 张，四域混合</w:t>
            </w:r>
          </w:p>
        </w:tc>
      </w:tr>
      <w:tr>
        <w:tc>
          <w:tcPr>
            <w:tcW w:type="dxa" w:w="4153"/>
          </w:tcPr>
          <w:p>
            <w:r/>
            <w:r>
              <w:rPr>
                <w:rFonts w:ascii="Calibri" w:hAnsi="Calibri" w:eastAsia="SimSun"/>
                <w:b w:val="0"/>
                <w:sz w:val="21"/>
              </w:rPr>
              <w:t>验证与探针数据</w:t>
            </w:r>
          </w:p>
        </w:tc>
        <w:tc>
          <w:tcPr>
            <w:tcW w:type="dxa" w:w="4153"/>
          </w:tcPr>
          <w:p>
            <w:r/>
            <w:r>
              <w:rPr>
                <w:rFonts w:ascii="Calibri" w:hAnsi="Calibri" w:eastAsia="SimSun"/>
                <w:b w:val="0"/>
                <w:sz w:val="21"/>
              </w:rPr>
              <w:t>id_test.json，共 8240 张；探针抽查 2000 张</w:t>
            </w:r>
          </w:p>
        </w:tc>
      </w:tr>
      <w:tr>
        <w:tc>
          <w:tcPr>
            <w:tcW w:type="dxa" w:w="4153"/>
          </w:tcPr>
          <w:p>
            <w:r/>
            <w:r>
              <w:rPr>
                <w:rFonts w:ascii="Calibri" w:hAnsi="Calibri" w:eastAsia="SimSun"/>
                <w:b w:val="0"/>
                <w:sz w:val="21"/>
              </w:rPr>
              <w:t xml:space="preserve"> batch 与优化</w:t>
            </w:r>
          </w:p>
        </w:tc>
        <w:tc>
          <w:tcPr>
            <w:tcW w:type="dxa" w:w="4153"/>
          </w:tcPr>
          <w:p>
            <w:r/>
            <w:r>
              <w:rPr>
                <w:rFonts w:ascii="Calibri" w:hAnsi="Calibri" w:eastAsia="SimSun"/>
                <w:b w:val="0"/>
                <w:sz w:val="21"/>
              </w:rPr>
              <w:t>单卡 batch128，4 卡 DDP 全局 batch512；AdamW，lr 4e-4，权重衰减 0.05</w:t>
            </w:r>
          </w:p>
        </w:tc>
      </w:tr>
      <w:tr>
        <w:tc>
          <w:tcPr>
            <w:tcW w:type="dxa" w:w="4153"/>
          </w:tcPr>
          <w:p>
            <w:r/>
            <w:r>
              <w:rPr>
                <w:rFonts w:ascii="Calibri" w:hAnsi="Calibri" w:eastAsia="SimSun"/>
                <w:b w:val="0"/>
                <w:sz w:val="21"/>
              </w:rPr>
              <w:t>训练轮数</w:t>
            </w:r>
          </w:p>
        </w:tc>
        <w:tc>
          <w:tcPr>
            <w:tcW w:type="dxa" w:w="4153"/>
          </w:tcPr>
          <w:p>
            <w:r/>
            <w:r>
              <w:rPr>
                <w:rFonts w:ascii="Calibri" w:hAnsi="Calibri" w:eastAsia="SimSun"/>
                <w:b w:val="0"/>
                <w:sz w:val="21"/>
              </w:rPr>
              <w:t>10 epoch</w:t>
            </w:r>
          </w:p>
        </w:tc>
      </w:tr>
      <w:tr>
        <w:tc>
          <w:tcPr>
            <w:tcW w:type="dxa" w:w="4153"/>
          </w:tcPr>
          <w:p>
            <w:r/>
            <w:r>
              <w:rPr>
                <w:rFonts w:ascii="Calibri" w:hAnsi="Calibri" w:eastAsia="SimSun"/>
                <w:b w:val="0"/>
                <w:sz w:val="21"/>
              </w:rPr>
              <w:t>硬件</w:t>
            </w:r>
          </w:p>
        </w:tc>
        <w:tc>
          <w:tcPr>
            <w:tcW w:type="dxa" w:w="4153"/>
          </w:tcPr>
          <w:p>
            <w:r/>
            <w:r>
              <w:rPr>
                <w:rFonts w:ascii="Calibri" w:hAnsi="Calibri" w:eastAsia="SimSun"/>
                <w:b w:val="0"/>
                <w:sz w:val="21"/>
              </w:rPr>
              <w:t>4 张 A40（44GB），torchrun DDP</w:t>
            </w:r>
          </w:p>
        </w:tc>
      </w:tr>
      <w:tr>
        <w:tc>
          <w:tcPr>
            <w:tcW w:type="dxa" w:w="4153"/>
          </w:tcPr>
          <w:p>
            <w:r/>
            <w:r>
              <w:rPr>
                <w:rFonts w:ascii="Calibri" w:hAnsi="Calibri" w:eastAsia="SimSun"/>
                <w:b w:val="0"/>
                <w:sz w:val="21"/>
              </w:rPr>
              <w:t>诊断设置</w:t>
            </w:r>
          </w:p>
        </w:tc>
        <w:tc>
          <w:tcPr>
            <w:tcW w:type="dxa" w:w="4153"/>
          </w:tcPr>
          <w:p>
            <w:r/>
            <w:r>
              <w:rPr>
                <w:rFonts w:ascii="Calibri" w:hAnsi="Calibri" w:eastAsia="SimSun"/>
                <w:b w:val="0"/>
                <w:sz w:val="21"/>
              </w:rPr>
              <w:t>每 20 步记录一次分域梯度（共 80 行）；每 epoch 存一份冻结特征</w:t>
            </w:r>
          </w:p>
        </w:tc>
      </w:tr>
    </w:tbl>
    <w:p>
      <w:pPr>
        <w:spacing w:after="40"/>
      </w:pPr>
    </w:p>
    <w:p>
      <w:pPr>
        <w:pStyle w:val="Heading1"/>
      </w:pPr>
      <w:r>
        <w:t>2 训练过程是否正常</w:t>
      </w:r>
    </w:p>
    <w:p>
      <w:pPr>
        <w:pStyle w:val="Heading2"/>
      </w:pPr>
      <w:r>
        <w:t>2.1 完成情况</w:t>
      </w:r>
    </w:p>
    <w:p>
      <w:pPr>
        <w:spacing w:after="120"/>
      </w:pPr>
      <w:r>
        <w:rPr>
          <w:rFonts w:ascii="Calibri" w:hAnsi="Calibri" w:eastAsia="SimSun"/>
          <w:b w:val="0"/>
          <w:sz w:val="22"/>
        </w:rPr>
        <w:t>10 个 epoch 全部跑完，各 epoch 特征 dump（features_epoch0 至 features_epoch9）与终版特征（features_last.npz，2000×2048）均已落盘，checkpoint 已保存，grad_log.csv 共 80 行，均符合预期。</w:t>
      </w:r>
    </w:p>
    <w:p>
      <w:pPr>
        <w:pStyle w:val="Heading2"/>
      </w:pPr>
      <w:r>
        <w:t>2.2 损失变化</w:t>
      </w:r>
    </w:p>
    <w:p>
      <w:pPr>
        <w:spacing w:after="120"/>
      </w:pPr>
      <w:r>
        <w:rPr>
          <w:rFonts w:ascii="Calibri" w:hAnsi="Calibri" w:eastAsia="SimSun"/>
          <w:b w:val="0"/>
          <w:sz w:val="22"/>
        </w:rPr>
        <w:t>训练初段损失约 0.70（随机初始化二分类起点附近），末段稳定在 0.32 至 0.40 之间，总体呈下降趋势。日志尾部抽查值如下。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</w:tcPr>
          <w:p>
            <w:r/>
            <w:r>
              <w:rPr>
                <w:rFonts w:ascii="Calibri" w:hAnsi="Calibri" w:eastAsia="SimSun"/>
                <w:b/>
                <w:sz w:val="21"/>
              </w:rPr>
              <w:t>位置</w:t>
            </w:r>
          </w:p>
        </w:tc>
        <w:tc>
          <w:tcPr>
            <w:tcW w:type="dxa" w:w="4153"/>
          </w:tcPr>
          <w:p>
            <w:r/>
            <w:r>
              <w:rPr>
                <w:rFonts w:ascii="Calibri" w:hAnsi="Calibri" w:eastAsia="SimSun"/>
                <w:b/>
                <w:sz w:val="21"/>
              </w:rPr>
              <w:t>训练损失</w:t>
            </w:r>
          </w:p>
        </w:tc>
      </w:tr>
      <w:tr>
        <w:tc>
          <w:tcPr>
            <w:tcW w:type="dxa" w:w="4153"/>
          </w:tcPr>
          <w:p>
            <w:r/>
            <w:r>
              <w:rPr>
                <w:rFonts w:ascii="Calibri" w:hAnsi="Calibri" w:eastAsia="SimSun"/>
                <w:b w:val="0"/>
                <w:sz w:val="21"/>
              </w:rPr>
              <w:t>第 7 epoch 约 3/4 处</w:t>
            </w:r>
          </w:p>
        </w:tc>
        <w:tc>
          <w:tcPr>
            <w:tcW w:type="dxa" w:w="4153"/>
          </w:tcPr>
          <w:p>
            <w:r/>
            <w:r>
              <w:rPr>
                <w:rFonts w:ascii="Calibri" w:hAnsi="Calibri" w:eastAsia="SimSun"/>
                <w:b w:val="0"/>
                <w:sz w:val="21"/>
              </w:rPr>
              <w:t>0.3366</w:t>
            </w:r>
          </w:p>
        </w:tc>
      </w:tr>
      <w:tr>
        <w:tc>
          <w:tcPr>
            <w:tcW w:type="dxa" w:w="4153"/>
          </w:tcPr>
          <w:p>
            <w:r/>
            <w:r>
              <w:rPr>
                <w:rFonts w:ascii="Calibri" w:hAnsi="Calibri" w:eastAsia="SimSun"/>
                <w:b w:val="0"/>
                <w:sz w:val="21"/>
              </w:rPr>
              <w:t>第 8 epoch 约 1/3 处</w:t>
            </w:r>
          </w:p>
        </w:tc>
        <w:tc>
          <w:tcPr>
            <w:tcW w:type="dxa" w:w="4153"/>
          </w:tcPr>
          <w:p>
            <w:r/>
            <w:r>
              <w:rPr>
                <w:rFonts w:ascii="Calibri" w:hAnsi="Calibri" w:eastAsia="SimSun"/>
                <w:b w:val="0"/>
                <w:sz w:val="21"/>
              </w:rPr>
              <w:t>0.3512</w:t>
            </w:r>
          </w:p>
        </w:tc>
      </w:tr>
      <w:tr>
        <w:tc>
          <w:tcPr>
            <w:tcW w:type="dxa" w:w="4153"/>
          </w:tcPr>
          <w:p>
            <w:r/>
            <w:r>
              <w:rPr>
                <w:rFonts w:ascii="Calibri" w:hAnsi="Calibri" w:eastAsia="SimSun"/>
                <w:b w:val="0"/>
                <w:sz w:val="21"/>
              </w:rPr>
              <w:t>第 8 epoch 约 3/4 处</w:t>
            </w:r>
          </w:p>
        </w:tc>
        <w:tc>
          <w:tcPr>
            <w:tcW w:type="dxa" w:w="4153"/>
          </w:tcPr>
          <w:p>
            <w:r/>
            <w:r>
              <w:rPr>
                <w:rFonts w:ascii="Calibri" w:hAnsi="Calibri" w:eastAsia="SimSun"/>
                <w:b w:val="0"/>
                <w:sz w:val="21"/>
              </w:rPr>
              <w:t>0.3997</w:t>
            </w:r>
          </w:p>
        </w:tc>
      </w:tr>
      <w:tr>
        <w:tc>
          <w:tcPr>
            <w:tcW w:type="dxa" w:w="4153"/>
          </w:tcPr>
          <w:p>
            <w:r/>
            <w:r>
              <w:rPr>
                <w:rFonts w:ascii="Calibri" w:hAnsi="Calibri" w:eastAsia="SimSun"/>
                <w:b w:val="0"/>
                <w:sz w:val="21"/>
              </w:rPr>
              <w:t>第 9 epoch 约 2/3 处</w:t>
            </w:r>
          </w:p>
        </w:tc>
        <w:tc>
          <w:tcPr>
            <w:tcW w:type="dxa" w:w="4153"/>
          </w:tcPr>
          <w:p>
            <w:r/>
            <w:r>
              <w:rPr>
                <w:rFonts w:ascii="Calibri" w:hAnsi="Calibri" w:eastAsia="SimSun"/>
                <w:b w:val="0"/>
                <w:sz w:val="21"/>
              </w:rPr>
              <w:t>0.3230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Calibri" w:hAnsi="Calibri" w:eastAsia="SimSun"/>
          <w:b w:val="0"/>
          <w:sz w:val="22"/>
        </w:rPr>
        <w:t>训练中损失存在上下波动（四域混合、随机初始化条件下的常见现象），但未出现发散或长期停滞，可认为优化过程基本健康。</w:t>
      </w:r>
    </w:p>
    <w:p>
      <w:pPr>
        <w:pStyle w:val="Heading2"/>
      </w:pPr>
      <w:r>
        <w:t>2.3 运行中的异常与处理</w:t>
      </w:r>
    </w:p>
    <w:p>
      <w:pPr>
        <w:spacing w:after="120"/>
      </w:pPr>
      <w:r>
        <w:rPr>
          <w:rFonts w:ascii="Calibri" w:hAnsi="Calibri" w:eastAsia="SimSun"/>
          <w:b w:val="0"/>
          <w:sz w:val="22"/>
        </w:rPr>
        <w:t>一是 AIGC/laion 目录下一批图片文件损坏无法解码，程序已改为静默跳过并用邻位样本代替，不影响训练，仅在早期日志中有记录。二是 5 epoch 小 batch 试跑中出现过个别诊断步余弦为 NaN，10 epoch 大 batch（单卡 128）运行中未再出现，证实为小样本分片伪影。三是此前有一次显存不足报错，经查是同机其他任务占卡所致，与本配置无关，本次运行前已确认四卡空闲。</w:t>
      </w:r>
    </w:p>
    <w:p>
      <w:pPr>
        <w:pStyle w:val="Heading1"/>
      </w:pPr>
      <w:r>
        <w:t>3 特征秩诊断数据</w:t>
      </w:r>
    </w:p>
    <w:p>
      <w:pPr>
        <w:pStyle w:val="Heading2"/>
      </w:pPr>
      <w:r>
        <w:t>3.1 终版特征奇异值谱</w:t>
      </w:r>
    </w:p>
    <w:p>
      <w:pPr>
        <w:spacing w:after="120"/>
      </w:pPr>
      <w:r>
        <w:rPr>
          <w:rFonts w:ascii="Calibri" w:hAnsi="Calibri" w:eastAsia="SimSun"/>
          <w:b w:val="0"/>
          <w:sz w:val="22"/>
        </w:rPr>
        <w:t>对终版 2000×2048 冻结特征做 SVD：前 20 维解释方差累计 96.47%，首奇异值 487.9，末奇异值 27.2，头尾落差约 17.9 倍，有效秩 301.8（占 2048 维的约 15%）。方差高度集中于头部少数方向。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9870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spectru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987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hAnsi="Calibri" w:eastAsia="KaiTi_GB2312"/>
          <w:b w:val="0"/>
          <w:sz w:val="20"/>
        </w:rPr>
        <w:t>图1 终版特征 Top20 奇异值谱</w:t>
      </w:r>
    </w:p>
    <w:p>
      <w:pPr>
        <w:pStyle w:val="Heading2"/>
      </w:pPr>
      <w:r>
        <w:t>3.2 集中度随训练的变化</w:t>
      </w:r>
    </w:p>
    <w:p>
      <w:pPr>
        <w:spacing w:after="120"/>
      </w:pPr>
      <w:r>
        <w:rPr>
          <w:rFonts w:ascii="Calibri" w:hAnsi="Calibri" w:eastAsia="SimSun"/>
          <w:b w:val="0"/>
          <w:sz w:val="22"/>
        </w:rPr>
        <w:t>每 2 个 epoch 抽查一次，累计方差占比与头尾落差总体走高，第 5 epoch 有一次小幅回落。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</w:tcPr>
          <w:p>
            <w:r/>
            <w:r>
              <w:rPr>
                <w:rFonts w:ascii="Calibri" w:hAnsi="Calibri" w:eastAsia="SimSun"/>
                <w:b/>
                <w:sz w:val="21"/>
              </w:rPr>
              <w:t>epoch</w:t>
            </w:r>
          </w:p>
        </w:tc>
        <w:tc>
          <w:tcPr>
            <w:tcW w:type="dxa" w:w="2769"/>
          </w:tcPr>
          <w:p>
            <w:r/>
            <w:r>
              <w:rPr>
                <w:rFonts w:ascii="Calibri" w:hAnsi="Calibri" w:eastAsia="SimSun"/>
                <w:b/>
                <w:sz w:val="21"/>
              </w:rPr>
              <w:t>cumvar@20</w:t>
            </w:r>
          </w:p>
        </w:tc>
        <w:tc>
          <w:tcPr>
            <w:tcW w:type="dxa" w:w="2769"/>
          </w:tcPr>
          <w:p>
            <w:r/>
            <w:r>
              <w:rPr>
                <w:rFonts w:ascii="Calibri" w:hAnsi="Calibri" w:eastAsia="SimSun"/>
                <w:b/>
                <w:sz w:val="21"/>
              </w:rPr>
              <w:t>s0/s19</w:t>
            </w:r>
          </w:p>
        </w:tc>
      </w:tr>
      <w:tr>
        <w:tc>
          <w:tcPr>
            <w:tcW w:type="dxa" w:w="2769"/>
          </w:tcPr>
          <w:p>
            <w:r/>
            <w:r>
              <w:rPr>
                <w:rFonts w:ascii="Calibri" w:hAnsi="Calibri" w:eastAsia="SimSun"/>
                <w:b w:val="0"/>
                <w:sz w:val="21"/>
              </w:rPr>
              <w:t>1</w:t>
            </w:r>
          </w:p>
        </w:tc>
        <w:tc>
          <w:tcPr>
            <w:tcW w:type="dxa" w:w="2769"/>
          </w:tcPr>
          <w:p>
            <w:r/>
            <w:r>
              <w:rPr>
                <w:rFonts w:ascii="Calibri" w:hAnsi="Calibri" w:eastAsia="SimSun"/>
                <w:b w:val="0"/>
                <w:sz w:val="21"/>
              </w:rPr>
              <w:t>0.9431</w:t>
            </w:r>
          </w:p>
        </w:tc>
        <w:tc>
          <w:tcPr>
            <w:tcW w:type="dxa" w:w="2769"/>
          </w:tcPr>
          <w:p>
            <w:r/>
            <w:r>
              <w:rPr>
                <w:rFonts w:ascii="Calibri" w:hAnsi="Calibri" w:eastAsia="SimSun"/>
                <w:b w:val="0"/>
                <w:sz w:val="21"/>
              </w:rPr>
              <w:t>11.68</w:t>
            </w:r>
          </w:p>
        </w:tc>
      </w:tr>
      <w:tr>
        <w:tc>
          <w:tcPr>
            <w:tcW w:type="dxa" w:w="2769"/>
          </w:tcPr>
          <w:p>
            <w:r/>
            <w:r>
              <w:rPr>
                <w:rFonts w:ascii="Calibri" w:hAnsi="Calibri" w:eastAsia="SimSun"/>
                <w:b w:val="0"/>
                <w:sz w:val="21"/>
              </w:rPr>
              <w:t>3</w:t>
            </w:r>
          </w:p>
        </w:tc>
        <w:tc>
          <w:tcPr>
            <w:tcW w:type="dxa" w:w="2769"/>
          </w:tcPr>
          <w:p>
            <w:r/>
            <w:r>
              <w:rPr>
                <w:rFonts w:ascii="Calibri" w:hAnsi="Calibri" w:eastAsia="SimSun"/>
                <w:b w:val="0"/>
                <w:sz w:val="21"/>
              </w:rPr>
              <w:t>0.9564</w:t>
            </w:r>
          </w:p>
        </w:tc>
        <w:tc>
          <w:tcPr>
            <w:tcW w:type="dxa" w:w="2769"/>
          </w:tcPr>
          <w:p>
            <w:r/>
            <w:r>
              <w:rPr>
                <w:rFonts w:ascii="Calibri" w:hAnsi="Calibri" w:eastAsia="SimSun"/>
                <w:b w:val="0"/>
                <w:sz w:val="21"/>
              </w:rPr>
              <w:t>15.56</w:t>
            </w:r>
          </w:p>
        </w:tc>
      </w:tr>
      <w:tr>
        <w:tc>
          <w:tcPr>
            <w:tcW w:type="dxa" w:w="2769"/>
          </w:tcPr>
          <w:p>
            <w:r/>
            <w:r>
              <w:rPr>
                <w:rFonts w:ascii="Calibri" w:hAnsi="Calibri" w:eastAsia="SimSun"/>
                <w:b w:val="0"/>
                <w:sz w:val="21"/>
              </w:rPr>
              <w:t>5</w:t>
            </w:r>
          </w:p>
        </w:tc>
        <w:tc>
          <w:tcPr>
            <w:tcW w:type="dxa" w:w="2769"/>
          </w:tcPr>
          <w:p>
            <w:r/>
            <w:r>
              <w:rPr>
                <w:rFonts w:ascii="Calibri" w:hAnsi="Calibri" w:eastAsia="SimSun"/>
                <w:b w:val="0"/>
                <w:sz w:val="21"/>
              </w:rPr>
              <w:t>0.9463</w:t>
            </w:r>
          </w:p>
        </w:tc>
        <w:tc>
          <w:tcPr>
            <w:tcW w:type="dxa" w:w="2769"/>
          </w:tcPr>
          <w:p>
            <w:r/>
            <w:r>
              <w:rPr>
                <w:rFonts w:ascii="Calibri" w:hAnsi="Calibri" w:eastAsia="SimSun"/>
                <w:b w:val="0"/>
                <w:sz w:val="21"/>
              </w:rPr>
              <w:t>10.49</w:t>
            </w:r>
          </w:p>
        </w:tc>
      </w:tr>
      <w:tr>
        <w:tc>
          <w:tcPr>
            <w:tcW w:type="dxa" w:w="2769"/>
          </w:tcPr>
          <w:p>
            <w:r/>
            <w:r>
              <w:rPr>
                <w:rFonts w:ascii="Calibri" w:hAnsi="Calibri" w:eastAsia="SimSun"/>
                <w:b w:val="0"/>
                <w:sz w:val="21"/>
              </w:rPr>
              <w:t>7</w:t>
            </w:r>
          </w:p>
        </w:tc>
        <w:tc>
          <w:tcPr>
            <w:tcW w:type="dxa" w:w="2769"/>
          </w:tcPr>
          <w:p>
            <w:r/>
            <w:r>
              <w:rPr>
                <w:rFonts w:ascii="Calibri" w:hAnsi="Calibri" w:eastAsia="SimSun"/>
                <w:b w:val="0"/>
                <w:sz w:val="21"/>
              </w:rPr>
              <w:t>0.9722</w:t>
            </w:r>
          </w:p>
        </w:tc>
        <w:tc>
          <w:tcPr>
            <w:tcW w:type="dxa" w:w="2769"/>
          </w:tcPr>
          <w:p>
            <w:r/>
            <w:r>
              <w:rPr>
                <w:rFonts w:ascii="Calibri" w:hAnsi="Calibri" w:eastAsia="SimSun"/>
                <w:b w:val="0"/>
                <w:sz w:val="21"/>
              </w:rPr>
              <w:t>21.22</w:t>
            </w:r>
          </w:p>
        </w:tc>
      </w:tr>
      <w:tr>
        <w:tc>
          <w:tcPr>
            <w:tcW w:type="dxa" w:w="2769"/>
          </w:tcPr>
          <w:p>
            <w:r/>
            <w:r>
              <w:rPr>
                <w:rFonts w:ascii="Calibri" w:hAnsi="Calibri" w:eastAsia="SimSun"/>
                <w:b w:val="0"/>
                <w:sz w:val="21"/>
              </w:rPr>
              <w:t>9</w:t>
            </w:r>
          </w:p>
        </w:tc>
        <w:tc>
          <w:tcPr>
            <w:tcW w:type="dxa" w:w="2769"/>
          </w:tcPr>
          <w:p>
            <w:r/>
            <w:r>
              <w:rPr>
                <w:rFonts w:ascii="Calibri" w:hAnsi="Calibri" w:eastAsia="SimSun"/>
                <w:b w:val="0"/>
                <w:sz w:val="21"/>
              </w:rPr>
              <w:t>0.9647</w:t>
            </w:r>
          </w:p>
        </w:tc>
        <w:tc>
          <w:tcPr>
            <w:tcW w:type="dxa" w:w="2769"/>
          </w:tcPr>
          <w:p>
            <w:r/>
            <w:r>
              <w:rPr>
                <w:rFonts w:ascii="Calibri" w:hAnsi="Calibri" w:eastAsia="SimSun"/>
                <w:b w:val="0"/>
                <w:sz w:val="21"/>
              </w:rPr>
              <w:t>17.94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9870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traj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987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hAnsi="Calibri" w:eastAsia="KaiTi_GB2312"/>
          <w:b w:val="0"/>
          <w:sz w:val="20"/>
        </w:rPr>
        <w:t>图2 特征集中度随训练的变化</w:t>
      </w:r>
    </w:p>
    <w:p>
      <w:pPr>
        <w:pStyle w:val="Heading1"/>
      </w:pPr>
      <w:r>
        <w:t>4 梯度冲突诊断数据</w:t>
      </w:r>
    </w:p>
    <w:p>
      <w:pPr>
        <w:spacing w:after="120"/>
      </w:pPr>
      <w:r>
        <w:rPr>
          <w:rFonts w:ascii="Calibri" w:hAnsi="Calibri" w:eastAsia="SimSun"/>
          <w:b w:val="0"/>
          <w:sz w:val="22"/>
        </w:rPr>
        <w:t>80 个诊断步平均：冲突率 0.57（六对域中余弦小于 0 的占比），多数冲突步占 54%，总体平均余弦为负（-0.067）。分域对情况如下。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</w:tcPr>
          <w:p>
            <w:r/>
            <w:r>
              <w:rPr>
                <w:rFonts w:ascii="Calibri" w:hAnsi="Calibri" w:eastAsia="SimSun"/>
                <w:b/>
                <w:sz w:val="21"/>
              </w:rPr>
              <w:t>域对</w:t>
            </w:r>
          </w:p>
        </w:tc>
        <w:tc>
          <w:tcPr>
            <w:tcW w:type="dxa" w:w="2769"/>
          </w:tcPr>
          <w:p>
            <w:r/>
            <w:r>
              <w:rPr>
                <w:rFonts w:ascii="Calibri" w:hAnsi="Calibri" w:eastAsia="SimSun"/>
                <w:b/>
                <w:sz w:val="21"/>
              </w:rPr>
              <w:t>平均余弦</w:t>
            </w:r>
          </w:p>
        </w:tc>
        <w:tc>
          <w:tcPr>
            <w:tcW w:type="dxa" w:w="2769"/>
          </w:tcPr>
          <w:p>
            <w:r/>
            <w:r>
              <w:rPr>
                <w:rFonts w:ascii="Calibri" w:hAnsi="Calibri" w:eastAsia="SimSun"/>
                <w:b/>
                <w:sz w:val="21"/>
              </w:rPr>
              <w:t>负对齐占比</w:t>
            </w:r>
          </w:p>
        </w:tc>
      </w:tr>
      <w:tr>
        <w:tc>
          <w:tcPr>
            <w:tcW w:type="dxa" w:w="2769"/>
          </w:tcPr>
          <w:p>
            <w:r/>
            <w:r>
              <w:rPr>
                <w:rFonts w:ascii="Calibri" w:hAnsi="Calibri" w:eastAsia="SimSun"/>
                <w:b w:val="0"/>
                <w:sz w:val="21"/>
              </w:rPr>
              <w:t>Deepfake-AIGC</w:t>
            </w:r>
          </w:p>
        </w:tc>
        <w:tc>
          <w:tcPr>
            <w:tcW w:type="dxa" w:w="2769"/>
          </w:tcPr>
          <w:p>
            <w:r/>
            <w:r>
              <w:rPr>
                <w:rFonts w:ascii="Calibri" w:hAnsi="Calibri" w:eastAsia="SimSun"/>
                <w:b w:val="0"/>
                <w:sz w:val="21"/>
              </w:rPr>
              <w:t>-0.053</w:t>
            </w:r>
          </w:p>
        </w:tc>
        <w:tc>
          <w:tcPr>
            <w:tcW w:type="dxa" w:w="2769"/>
          </w:tcPr>
          <w:p>
            <w:r/>
            <w:r>
              <w:rPr>
                <w:rFonts w:ascii="Calibri" w:hAnsi="Calibri" w:eastAsia="SimSun"/>
                <w:b w:val="0"/>
                <w:sz w:val="21"/>
              </w:rPr>
              <w:t>0.54</w:t>
            </w:r>
          </w:p>
        </w:tc>
      </w:tr>
      <w:tr>
        <w:tc>
          <w:tcPr>
            <w:tcW w:type="dxa" w:w="2769"/>
          </w:tcPr>
          <w:p>
            <w:r/>
            <w:r>
              <w:rPr>
                <w:rFonts w:ascii="Calibri" w:hAnsi="Calibri" w:eastAsia="SimSun"/>
                <w:b w:val="0"/>
                <w:sz w:val="21"/>
              </w:rPr>
              <w:t>Deepfake-IMDL</w:t>
            </w:r>
          </w:p>
        </w:tc>
        <w:tc>
          <w:tcPr>
            <w:tcW w:type="dxa" w:w="2769"/>
          </w:tcPr>
          <w:p>
            <w:r/>
            <w:r>
              <w:rPr>
                <w:rFonts w:ascii="Calibri" w:hAnsi="Calibri" w:eastAsia="SimSun"/>
                <w:b w:val="0"/>
                <w:sz w:val="21"/>
              </w:rPr>
              <w:t>0.058</w:t>
            </w:r>
          </w:p>
        </w:tc>
        <w:tc>
          <w:tcPr>
            <w:tcW w:type="dxa" w:w="2769"/>
          </w:tcPr>
          <w:p>
            <w:r/>
            <w:r>
              <w:rPr>
                <w:rFonts w:ascii="Calibri" w:hAnsi="Calibri" w:eastAsia="SimSun"/>
                <w:b w:val="0"/>
                <w:sz w:val="21"/>
              </w:rPr>
              <w:t>0.42</w:t>
            </w:r>
          </w:p>
        </w:tc>
      </w:tr>
      <w:tr>
        <w:tc>
          <w:tcPr>
            <w:tcW w:type="dxa" w:w="2769"/>
          </w:tcPr>
          <w:p>
            <w:r/>
            <w:r>
              <w:rPr>
                <w:rFonts w:ascii="Calibri" w:hAnsi="Calibri" w:eastAsia="SimSun"/>
                <w:b w:val="0"/>
                <w:sz w:val="21"/>
              </w:rPr>
              <w:t>Deepfake-文档</w:t>
            </w:r>
          </w:p>
        </w:tc>
        <w:tc>
          <w:tcPr>
            <w:tcW w:type="dxa" w:w="2769"/>
          </w:tcPr>
          <w:p>
            <w:r/>
            <w:r>
              <w:rPr>
                <w:rFonts w:ascii="Calibri" w:hAnsi="Calibri" w:eastAsia="SimSun"/>
                <w:b w:val="0"/>
                <w:sz w:val="21"/>
              </w:rPr>
              <w:t>0.040</w:t>
            </w:r>
          </w:p>
        </w:tc>
        <w:tc>
          <w:tcPr>
            <w:tcW w:type="dxa" w:w="2769"/>
          </w:tcPr>
          <w:p>
            <w:r/>
            <w:r>
              <w:rPr>
                <w:rFonts w:ascii="Calibri" w:hAnsi="Calibri" w:eastAsia="SimSun"/>
                <w:b w:val="0"/>
                <w:sz w:val="21"/>
              </w:rPr>
              <w:t>0.41</w:t>
            </w:r>
          </w:p>
        </w:tc>
      </w:tr>
      <w:tr>
        <w:tc>
          <w:tcPr>
            <w:tcW w:type="dxa" w:w="2769"/>
          </w:tcPr>
          <w:p>
            <w:r/>
            <w:r>
              <w:rPr>
                <w:rFonts w:ascii="Calibri" w:hAnsi="Calibri" w:eastAsia="SimSun"/>
                <w:b w:val="0"/>
                <w:sz w:val="21"/>
              </w:rPr>
              <w:t>AIGC-IMDL</w:t>
            </w:r>
          </w:p>
        </w:tc>
        <w:tc>
          <w:tcPr>
            <w:tcW w:type="dxa" w:w="2769"/>
          </w:tcPr>
          <w:p>
            <w:r/>
            <w:r>
              <w:rPr>
                <w:rFonts w:ascii="Calibri" w:hAnsi="Calibri" w:eastAsia="SimSun"/>
                <w:b w:val="0"/>
                <w:sz w:val="21"/>
              </w:rPr>
              <w:t>0.167</w:t>
            </w:r>
          </w:p>
        </w:tc>
        <w:tc>
          <w:tcPr>
            <w:tcW w:type="dxa" w:w="2769"/>
          </w:tcPr>
          <w:p>
            <w:r/>
            <w:r>
              <w:rPr>
                <w:rFonts w:ascii="Calibri" w:hAnsi="Calibri" w:eastAsia="SimSun"/>
                <w:b w:val="0"/>
                <w:sz w:val="21"/>
              </w:rPr>
              <w:t>0.31</w:t>
            </w:r>
          </w:p>
        </w:tc>
      </w:tr>
      <w:tr>
        <w:tc>
          <w:tcPr>
            <w:tcW w:type="dxa" w:w="2769"/>
          </w:tcPr>
          <w:p>
            <w:r/>
            <w:r>
              <w:rPr>
                <w:rFonts w:ascii="Calibri" w:hAnsi="Calibri" w:eastAsia="SimSun"/>
                <w:b w:val="0"/>
                <w:sz w:val="21"/>
              </w:rPr>
              <w:t>AIGC-文档</w:t>
            </w:r>
          </w:p>
        </w:tc>
        <w:tc>
          <w:tcPr>
            <w:tcW w:type="dxa" w:w="2769"/>
          </w:tcPr>
          <w:p>
            <w:r/>
            <w:r>
              <w:rPr>
                <w:rFonts w:ascii="Calibri" w:hAnsi="Calibri" w:eastAsia="SimSun"/>
                <w:b w:val="0"/>
                <w:sz w:val="21"/>
              </w:rPr>
              <w:t>-0.196</w:t>
            </w:r>
          </w:p>
        </w:tc>
        <w:tc>
          <w:tcPr>
            <w:tcW w:type="dxa" w:w="2769"/>
          </w:tcPr>
          <w:p>
            <w:r/>
            <w:r>
              <w:rPr>
                <w:rFonts w:ascii="Calibri" w:hAnsi="Calibri" w:eastAsia="SimSun"/>
                <w:b w:val="0"/>
                <w:sz w:val="21"/>
              </w:rPr>
              <w:t>0.66</w:t>
            </w:r>
          </w:p>
        </w:tc>
      </w:tr>
      <w:tr>
        <w:tc>
          <w:tcPr>
            <w:tcW w:type="dxa" w:w="2769"/>
          </w:tcPr>
          <w:p>
            <w:r/>
            <w:r>
              <w:rPr>
                <w:rFonts w:ascii="Calibri" w:hAnsi="Calibri" w:eastAsia="SimSun"/>
                <w:b w:val="0"/>
                <w:sz w:val="21"/>
              </w:rPr>
              <w:t>IMDL-文档</w:t>
            </w:r>
          </w:p>
        </w:tc>
        <w:tc>
          <w:tcPr>
            <w:tcW w:type="dxa" w:w="2769"/>
          </w:tcPr>
          <w:p>
            <w:r/>
            <w:r>
              <w:rPr>
                <w:rFonts w:ascii="Calibri" w:hAnsi="Calibri" w:eastAsia="SimSun"/>
                <w:b w:val="0"/>
                <w:sz w:val="21"/>
              </w:rPr>
              <w:t>-0.210</w:t>
            </w:r>
          </w:p>
        </w:tc>
        <w:tc>
          <w:tcPr>
            <w:tcW w:type="dxa" w:w="2769"/>
          </w:tcPr>
          <w:p>
            <w:r/>
            <w:r>
              <w:rPr>
                <w:rFonts w:ascii="Calibri" w:hAnsi="Calibri" w:eastAsia="SimSun"/>
                <w:b w:val="0"/>
                <w:sz w:val="21"/>
              </w:rPr>
              <w:t>0.78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Calibri" w:hAnsi="Calibri" w:eastAsia="SimSun"/>
          <w:b w:val="0"/>
          <w:sz w:val="22"/>
        </w:rPr>
        <w:t>其中 IMDL 相关两对（IMDL-文档、Deepfake-IMDL）负对齐占比最高，分别达 0.78 与 0.69；AIGC-IMDL 为各对中最协同（平均余弦 0.167，负对齐占比 0.31）。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5603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gra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560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hAnsi="Calibri" w:eastAsia="KaiTi_GB2312"/>
          <w:b w:val="0"/>
          <w:sz w:val="20"/>
        </w:rPr>
        <w:t>图3 域间梯度对齐情况</w:t>
      </w:r>
    </w:p>
    <w:p>
      <w:pPr>
        <w:pStyle w:val="Heading1"/>
      </w:pPr>
      <w:r>
        <w:t>5 小结与待办</w:t>
      </w:r>
    </w:p>
    <w:p>
      <w:pPr>
        <w:spacing w:after="120"/>
      </w:pPr>
      <w:r>
        <w:rPr>
          <w:rFonts w:ascii="Calibri" w:hAnsi="Calibri" w:eastAsia="SimSun"/>
          <w:b w:val="0"/>
          <w:sz w:val="22"/>
        </w:rPr>
        <w:t>本次训练流程完整、损失正常下降、诊断数据齐备，训练本身没有问题。特征集中度与梯度冲突的数值已如实列出，供进一步分析。后续可补：其余子领域模型的同流程复刻、单域训练对照、以及有网条件下的预训练初始化对照。</w:t>
      </w:r>
    </w:p>
    <w:sectPr w:rsidR="00FC693F" w:rsidRPr="0006063C" w:rsidSect="000346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SimSun"/>
      <w:b w:val="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Sim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SimHe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