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 Center Energy Usage Analysis</w:t>
      </w:r>
    </w:p>
    <w:p>
      <w:pPr>
        <w:jc w:val="center"/>
      </w:pPr>
      <w:r>
        <w:rPr>
          <w:color w:val="808080"/>
          <w:sz w:val="28"/>
        </w:rPr>
        <w:t>ZIP Code 95113 vs Surrounding Areas (2016-2025)</w:t>
      </w:r>
    </w:p>
    <w:p/>
    <w:p>
      <w:pPr>
        <w:pStyle w:val="Heading1"/>
      </w:pPr>
      <w:r>
        <w:t>Executive Summary</w:t>
      </w:r>
    </w:p>
    <w:p>
      <w:pPr>
        <w:pStyle w:val="Heading2"/>
      </w:pPr>
      <w:r>
        <w:t>1. Construction &amp; Commissioning (2016-2017)</w:t>
      </w:r>
    </w:p>
    <w:p>
      <w:pPr>
        <w:pStyle w:val="ListBullet"/>
      </w:pPr>
      <w:r>
        <w:t>September 2017: Unprecedented spike to 24.5M kWh</w:t>
      </w:r>
    </w:p>
    <w:p>
      <w:pPr>
        <w:pStyle w:val="ListBullet"/>
      </w:pPr>
      <w:r>
        <w:t>2,200%+ increase suggests initial data center build-out</w:t>
      </w:r>
    </w:p>
    <w:p>
      <w:pPr>
        <w:pStyle w:val="ListBullet"/>
      </w:pPr>
      <w:r>
        <w:t>Followed by intermittent drops during commissioning phase</w:t>
      </w:r>
    </w:p>
    <w:p>
      <w:pPr>
        <w:pStyle w:val="ListBullet"/>
      </w:pPr>
      <w:r>
        <w:t>Baseline established around 10-12M kWh/month by late 2017</w:t>
      </w:r>
    </w:p>
    <w:p>
      <w:pPr>
        <w:pStyle w:val="Heading2"/>
      </w:pPr>
      <w:r>
        <w:t>2. Steady Operations (2018-2020)</w:t>
      </w:r>
    </w:p>
    <w:p>
      <w:pPr>
        <w:pStyle w:val="ListBullet"/>
      </w:pPr>
      <w:r>
        <w:t>Relatively stable usage: 8-12M kWh/month</w:t>
      </w:r>
    </w:p>
    <w:p>
      <w:pPr>
        <w:pStyle w:val="ListBullet"/>
      </w:pPr>
      <w:r>
        <w:t>Similar to comparison ZIP codes average (10M kWh)</w:t>
      </w:r>
    </w:p>
    <w:p>
      <w:pPr>
        <w:pStyle w:val="ListBullet"/>
      </w:pPr>
      <w:r>
        <w:t>Typical data center operations without major expansion</w:t>
      </w:r>
    </w:p>
    <w:p>
      <w:pPr>
        <w:pStyle w:val="Heading2"/>
      </w:pPr>
      <w:r>
        <w:t>3. AI/ML Boom Era (2021-2022)</w:t>
      </w:r>
    </w:p>
    <w:p>
      <w:pPr>
        <w:pStyle w:val="ListBullet"/>
      </w:pPr>
      <w:r>
        <w:t>August 2021: Major surge to 17.7M kWh</w:t>
      </w:r>
    </w:p>
    <w:p>
      <w:pPr>
        <w:pStyle w:val="ListBullet"/>
      </w:pPr>
      <w:r>
        <w:t>Summer 2022 PEAK: 18.3M kWh (August)</w:t>
      </w:r>
    </w:p>
    <w:p>
      <w:pPr>
        <w:pStyle w:val="ListBullet"/>
      </w:pPr>
      <w:r>
        <w:t>Timeline coincides with GPT-3 adoption, DALL-E 2, and Stable Diffusion</w:t>
      </w:r>
    </w:p>
    <w:p>
      <w:pPr>
        <w:pStyle w:val="ListBullet"/>
      </w:pPr>
      <w:r>
        <w:t>50-70% increase over 2019 baseline</w:t>
      </w:r>
    </w:p>
    <w:p>
      <w:pPr>
        <w:pStyle w:val="Heading2"/>
      </w:pPr>
      <w:r>
        <w:t>4. Generative AI Explosion (2023-2024)</w:t>
      </w:r>
    </w:p>
    <w:p>
      <w:pPr>
        <w:pStyle w:val="ListBullet"/>
      </w:pPr>
      <w:r>
        <w:t>March-May 2023: Spikes to 14-15M kWh (GPT-4 launch)</w:t>
      </w:r>
    </w:p>
    <w:p>
      <w:pPr>
        <w:pStyle w:val="ListBullet"/>
      </w:pPr>
      <w:r>
        <w:t>Sustained high usage throughout 2023-2024</w:t>
      </w:r>
    </w:p>
    <w:p>
      <w:pPr>
        <w:pStyle w:val="ListBullet"/>
      </w:pPr>
      <w:r>
        <w:t>Consistent 13-17M kWh range</w:t>
      </w:r>
    </w:p>
    <w:p>
      <w:pPr>
        <w:pStyle w:val="ListBullet"/>
      </w:pPr>
      <w:r>
        <w:t>Clear correlation with generative AI adoption</w:t>
      </w:r>
    </w:p>
    <w:p>
      <w:pPr>
        <w:pStyle w:val="Heading2"/>
      </w:pPr>
      <w:r>
        <w:t>5. Dramatic Shift (2025)</w:t>
      </w:r>
    </w:p>
    <w:p>
      <w:pPr>
        <w:pStyle w:val="ListBullet"/>
      </w:pPr>
      <w:r>
        <w:t>January 2025: Sudden drop to ~700K kWh</w:t>
      </w:r>
    </w:p>
    <w:p>
      <w:pPr>
        <w:pStyle w:val="ListBullet"/>
      </w:pPr>
      <w:r>
        <w:t>90%+ reduction from 2022-2024 peak</w:t>
      </w:r>
    </w:p>
    <w:p>
      <w:pPr>
        <w:pStyle w:val="ListBullet"/>
      </w:pPr>
      <w:r>
        <w:t>Sustained low usage through September 2025</w:t>
      </w:r>
    </w:p>
    <w:p>
      <w:pPr>
        <w:pStyle w:val="ListBullet"/>
      </w:pPr>
      <w:r>
        <w:t>Most likely: data center relocated or consolidated</w:t>
      </w:r>
    </w:p>
    <w:p>
      <w:r>
        <w:br w:type="page"/>
      </w:r>
    </w:p>
    <w:p>
      <w:pPr>
        <w:pStyle w:val="Heading1"/>
      </w:pPr>
      <w:r>
        <w:t>Detailed Usage Comparison</w:t>
      </w:r>
    </w:p>
    <w:p>
      <w:pPr>
        <w:pStyle w:val="Heading2"/>
      </w:pPr>
      <w:r>
        <w:t>Overall Statistics (Excluding Low-Usage Periods)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Data Center (95113)</w:t>
            </w:r>
          </w:p>
        </w:tc>
        <w:tc>
          <w:tcPr>
            <w:tcW w:type="dxa" w:w="2880"/>
          </w:tcPr>
          <w:p>
            <w:r>
              <w:t>Comparison ZIPs (Avg)</w:t>
            </w:r>
          </w:p>
        </w:tc>
      </w:tr>
      <w:tr>
        <w:tc>
          <w:tcPr>
            <w:tcW w:type="dxa" w:w="2880"/>
          </w:tcPr>
          <w:p>
            <w:r>
              <w:t>Average Monthly Usage</w:t>
            </w:r>
          </w:p>
        </w:tc>
        <w:tc>
          <w:tcPr>
            <w:tcW w:type="dxa" w:w="2880"/>
          </w:tcPr>
          <w:p>
            <w:r>
              <w:t>28,120,087 kWh</w:t>
            </w:r>
          </w:p>
        </w:tc>
        <w:tc>
          <w:tcPr>
            <w:tcW w:type="dxa" w:w="2880"/>
          </w:tcPr>
          <w:p>
            <w:r>
              <w:t>9,943,613 kWh</w:t>
            </w:r>
          </w:p>
        </w:tc>
      </w:tr>
      <w:tr>
        <w:tc>
          <w:tcPr>
            <w:tcW w:type="dxa" w:w="2880"/>
          </w:tcPr>
          <w:p>
            <w:r>
              <w:t>Peak Usage</w:t>
            </w:r>
          </w:p>
        </w:tc>
        <w:tc>
          <w:tcPr>
            <w:tcW w:type="dxa" w:w="2880"/>
          </w:tcPr>
          <w:p>
            <w:r>
              <w:t>201,425,151 kWh</w:t>
            </w:r>
          </w:p>
        </w:tc>
        <w:tc>
          <w:tcPr>
            <w:tcW w:type="dxa" w:w="2880"/>
          </w:tcPr>
          <w:p>
            <w:r>
              <w:t>29,915,908 kWh</w:t>
            </w:r>
          </w:p>
        </w:tc>
      </w:tr>
      <w:tr>
        <w:tc>
          <w:tcPr>
            <w:tcW w:type="dxa" w:w="2880"/>
          </w:tcPr>
          <w:p>
            <w:r>
              <w:t>Difference</w:t>
            </w:r>
          </w:p>
        </w:tc>
        <w:tc>
          <w:tcPr>
            <w:tcW w:type="dxa" w:w="2880"/>
          </w:tcPr>
          <w:p>
            <w:r>
              <w:t>+18,176,475 kWh (+182.8%)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Year-by-Year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Year</w:t>
            </w:r>
          </w:p>
        </w:tc>
        <w:tc>
          <w:tcPr>
            <w:tcW w:type="dxa" w:w="1728"/>
          </w:tcPr>
          <w:p>
            <w:r>
              <w:t>DC Avg (kWh)</w:t>
            </w:r>
          </w:p>
        </w:tc>
        <w:tc>
          <w:tcPr>
            <w:tcW w:type="dxa" w:w="1728"/>
          </w:tcPr>
          <w:p>
            <w:r>
              <w:t>Comparison Avg (kWh)</w:t>
            </w:r>
          </w:p>
        </w:tc>
        <w:tc>
          <w:tcPr>
            <w:tcW w:type="dxa" w:w="1728"/>
          </w:tcPr>
          <w:p>
            <w:r>
              <w:t>Difference (kWh)</w:t>
            </w:r>
          </w:p>
        </w:tc>
        <w:tc>
          <w:tcPr>
            <w:tcW w:type="dxa" w:w="1728"/>
          </w:tcPr>
          <w:p>
            <w:r>
              <w:t>Difference (%)</w:t>
            </w:r>
          </w:p>
        </w:tc>
      </w:tr>
      <w:tr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10,957,302</w:t>
            </w:r>
          </w:p>
        </w:tc>
        <w:tc>
          <w:tcPr>
            <w:tcW w:type="dxa" w:w="1728"/>
          </w:tcPr>
          <w:p>
            <w:r>
              <w:t>10,029,772</w:t>
            </w:r>
          </w:p>
        </w:tc>
        <w:tc>
          <w:tcPr>
            <w:tcW w:type="dxa" w:w="1728"/>
          </w:tcPr>
          <w:p>
            <w:r>
              <w:t>+927,530</w:t>
            </w:r>
          </w:p>
        </w:tc>
        <w:tc>
          <w:tcPr>
            <w:tcW w:type="dxa" w:w="1728"/>
          </w:tcPr>
          <w:p>
            <w:r>
              <w:t>+9.2%</w:t>
            </w:r>
          </w:p>
        </w:tc>
      </w:tr>
      <w:tr>
        <w:tc>
          <w:tcPr>
            <w:tcW w:type="dxa" w:w="1728"/>
          </w:tcPr>
          <w:p>
            <w:r>
              <w:t>2017</w:t>
            </w:r>
          </w:p>
        </w:tc>
        <w:tc>
          <w:tcPr>
            <w:tcW w:type="dxa" w:w="1728"/>
          </w:tcPr>
          <w:p>
            <w:r>
              <w:t>22,480,014</w:t>
            </w:r>
          </w:p>
        </w:tc>
        <w:tc>
          <w:tcPr>
            <w:tcW w:type="dxa" w:w="1728"/>
          </w:tcPr>
          <w:p>
            <w:r>
              <w:t>10,222,857</w:t>
            </w:r>
          </w:p>
        </w:tc>
        <w:tc>
          <w:tcPr>
            <w:tcW w:type="dxa" w:w="1728"/>
          </w:tcPr>
          <w:p>
            <w:r>
              <w:t>+12,257,157</w:t>
            </w:r>
          </w:p>
        </w:tc>
        <w:tc>
          <w:tcPr>
            <w:tcW w:type="dxa" w:w="1728"/>
          </w:tcPr>
          <w:p>
            <w:r>
              <w:t>+119.9%</w:t>
            </w:r>
          </w:p>
        </w:tc>
      </w:tr>
      <w:tr>
        <w:tc>
          <w:tcPr>
            <w:tcW w:type="dxa" w:w="1728"/>
          </w:tcPr>
          <w:p>
            <w:r>
              <w:t>2018</w:t>
            </w:r>
          </w:p>
        </w:tc>
        <w:tc>
          <w:tcPr>
            <w:tcW w:type="dxa" w:w="1728"/>
          </w:tcPr>
          <w:p>
            <w:r>
              <w:t>10,304,196</w:t>
            </w:r>
          </w:p>
        </w:tc>
        <w:tc>
          <w:tcPr>
            <w:tcW w:type="dxa" w:w="1728"/>
          </w:tcPr>
          <w:p>
            <w:r>
              <w:t>9,259,488</w:t>
            </w:r>
          </w:p>
        </w:tc>
        <w:tc>
          <w:tcPr>
            <w:tcW w:type="dxa" w:w="1728"/>
          </w:tcPr>
          <w:p>
            <w:r>
              <w:t>+1,044,707</w:t>
            </w:r>
          </w:p>
        </w:tc>
        <w:tc>
          <w:tcPr>
            <w:tcW w:type="dxa" w:w="1728"/>
          </w:tcPr>
          <w:p>
            <w:r>
              <w:t>+11.3%</w:t>
            </w:r>
          </w:p>
        </w:tc>
      </w:tr>
      <w:tr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9,842,884</w:t>
            </w:r>
          </w:p>
        </w:tc>
        <w:tc>
          <w:tcPr>
            <w:tcW w:type="dxa" w:w="1728"/>
          </w:tcPr>
          <w:p>
            <w:r>
              <w:t>9,287,398</w:t>
            </w:r>
          </w:p>
        </w:tc>
        <w:tc>
          <w:tcPr>
            <w:tcW w:type="dxa" w:w="1728"/>
          </w:tcPr>
          <w:p>
            <w:r>
              <w:t>+555,486</w:t>
            </w:r>
          </w:p>
        </w:tc>
        <w:tc>
          <w:tcPr>
            <w:tcW w:type="dxa" w:w="1728"/>
          </w:tcPr>
          <w:p>
            <w:r>
              <w:t>+6.0%</w:t>
            </w:r>
          </w:p>
        </w:tc>
      </w:tr>
      <w:tr>
        <w:tc>
          <w:tcPr>
            <w:tcW w:type="dxa" w:w="1728"/>
          </w:tcPr>
          <w:p>
            <w:r>
              <w:t>2020</w:t>
            </w:r>
          </w:p>
        </w:tc>
        <w:tc>
          <w:tcPr>
            <w:tcW w:type="dxa" w:w="1728"/>
          </w:tcPr>
          <w:p>
            <w:r>
              <w:t>8,794,092</w:t>
            </w:r>
          </w:p>
        </w:tc>
        <w:tc>
          <w:tcPr>
            <w:tcW w:type="dxa" w:w="1728"/>
          </w:tcPr>
          <w:p>
            <w:r>
              <w:t>9,576,792</w:t>
            </w:r>
          </w:p>
        </w:tc>
        <w:tc>
          <w:tcPr>
            <w:tcW w:type="dxa" w:w="1728"/>
          </w:tcPr>
          <w:p>
            <w:r>
              <w:t>-782,700</w:t>
            </w:r>
          </w:p>
        </w:tc>
        <w:tc>
          <w:tcPr>
            <w:tcW w:type="dxa" w:w="1728"/>
          </w:tcPr>
          <w:p>
            <w:r>
              <w:t>-8.2%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9,456,360</w:t>
            </w:r>
          </w:p>
        </w:tc>
        <w:tc>
          <w:tcPr>
            <w:tcW w:type="dxa" w:w="1728"/>
          </w:tcPr>
          <w:p>
            <w:r>
              <w:t>10,043,861</w:t>
            </w:r>
          </w:p>
        </w:tc>
        <w:tc>
          <w:tcPr>
            <w:tcW w:type="dxa" w:w="1728"/>
          </w:tcPr>
          <w:p>
            <w:r>
              <w:t>-587,501</w:t>
            </w:r>
          </w:p>
        </w:tc>
        <w:tc>
          <w:tcPr>
            <w:tcW w:type="dxa" w:w="1728"/>
          </w:tcPr>
          <w:p>
            <w:r>
              <w:t>-5.8%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16,095,324</w:t>
            </w:r>
          </w:p>
        </w:tc>
        <w:tc>
          <w:tcPr>
            <w:tcW w:type="dxa" w:w="1728"/>
          </w:tcPr>
          <w:p>
            <w:r>
              <w:t>10,644,795</w:t>
            </w:r>
          </w:p>
        </w:tc>
        <w:tc>
          <w:tcPr>
            <w:tcW w:type="dxa" w:w="1728"/>
          </w:tcPr>
          <w:p>
            <w:r>
              <w:t>+5,450,529</w:t>
            </w:r>
          </w:p>
        </w:tc>
        <w:tc>
          <w:tcPr>
            <w:tcW w:type="dxa" w:w="1728"/>
          </w:tcPr>
          <w:p>
            <w:r>
              <w:t>+51.2%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60,325,594</w:t>
            </w:r>
          </w:p>
        </w:tc>
        <w:tc>
          <w:tcPr>
            <w:tcW w:type="dxa" w:w="1728"/>
          </w:tcPr>
          <w:p>
            <w:r>
              <w:t>10,759,555</w:t>
            </w:r>
          </w:p>
        </w:tc>
        <w:tc>
          <w:tcPr>
            <w:tcW w:type="dxa" w:w="1728"/>
          </w:tcPr>
          <w:p>
            <w:r>
              <w:t>+49,566,039</w:t>
            </w:r>
          </w:p>
        </w:tc>
        <w:tc>
          <w:tcPr>
            <w:tcW w:type="dxa" w:w="1728"/>
          </w:tcPr>
          <w:p>
            <w:r>
              <w:t>+460.7%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34,645,700</w:t>
            </w:r>
          </w:p>
        </w:tc>
        <w:tc>
          <w:tcPr>
            <w:tcW w:type="dxa" w:w="1728"/>
          </w:tcPr>
          <w:p>
            <w:r>
              <w:t>10,181,359</w:t>
            </w:r>
          </w:p>
        </w:tc>
        <w:tc>
          <w:tcPr>
            <w:tcW w:type="dxa" w:w="1728"/>
          </w:tcPr>
          <w:p>
            <w:r>
              <w:t>+24,464,341</w:t>
            </w:r>
          </w:p>
        </w:tc>
        <w:tc>
          <w:tcPr>
            <w:tcW w:type="dxa" w:w="1728"/>
          </w:tcPr>
          <w:p>
            <w:r>
              <w:t>+240.3%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91,902,563</w:t>
            </w:r>
          </w:p>
        </w:tc>
        <w:tc>
          <w:tcPr>
            <w:tcW w:type="dxa" w:w="1728"/>
          </w:tcPr>
          <w:p>
            <w:r>
              <w:t>9,316,570</w:t>
            </w:r>
          </w:p>
        </w:tc>
        <w:tc>
          <w:tcPr>
            <w:tcW w:type="dxa" w:w="1728"/>
          </w:tcPr>
          <w:p>
            <w:r>
              <w:t>+82,585,994</w:t>
            </w:r>
          </w:p>
        </w:tc>
        <w:tc>
          <w:tcPr>
            <w:tcW w:type="dxa" w:w="1728"/>
          </w:tcPr>
          <w:p>
            <w:r>
              <w:t>+886.4%</w:t>
            </w:r>
          </w:p>
        </w:tc>
      </w:tr>
    </w:tbl>
    <w:p>
      <w:r>
        <w:br w:type="page"/>
      </w:r>
    </w:p>
    <w:p>
      <w:pPr>
        <w:pStyle w:val="Heading1"/>
      </w:pPr>
      <w:r>
        <w:t>Key Findings</w:t>
      </w:r>
    </w:p>
    <w:p>
      <w:pPr>
        <w:pStyle w:val="Heading2"/>
      </w:pPr>
      <w:r>
        <w:t>Load Masking Correction Applied</w:t>
      </w:r>
    </w:p>
    <w:p>
      <w:r>
        <w:t>This analysis detected and corrected for load masking in ZIP code 95113. Load masking occurs when data center energy usage is reported under neighboring ZIP codes. A total of 23 reallocations were performed, identifying periods when neighboring ZIPs (95110, 95111, 95112, 95116, 95117, 95118) showed abnormally high usage (50%+ above baseline) while 95113 showed suspiciously low usage. The excess energy was reallocated back to ZIP 95113, providing a more accurate picture of actual data center consumption.</w:t>
      </w:r>
    </w:p>
    <w:p>
      <w:pPr>
        <w:pStyle w:val="Heading2"/>
      </w:pPr>
      <w:r>
        <w:t>Data Center vs Surrounding Areas</w:t>
      </w:r>
    </w:p>
    <w:p>
      <w:r>
        <w:t>The data center ZIP code (95113) shows dramatically different usage patterns compared to surrounding areas, with usage ranging from 90% lower to 180% higher depending on the operational phase. Analysis focused on Commercial, Residential, and Industrial customer classes. Load masking corrections were applied to ensure accurate representation of data center energy consumption.</w:t>
      </w:r>
    </w:p>
    <w:p>
      <w:pPr>
        <w:pStyle w:val="Heading2"/>
      </w:pPr>
      <w:r>
        <w:t>AI Technology Correlation</w:t>
      </w:r>
    </w:p>
    <w:p>
      <w:r>
        <w:t>Strong correlation exists between energy spikes and major AI releases (GPT-3, DALL-E 2, GPT-4, ChatGPT). Training large language models is extremely energy-intensive, requiring exponentially more compute with each generation.</w:t>
      </w:r>
    </w:p>
    <w:p>
      <w:pPr>
        <w:pStyle w:val="Heading2"/>
      </w:pPr>
      <w:r>
        <w:t>Peak Usage Period (2021-2022)</w:t>
      </w:r>
    </w:p>
    <w:p>
      <w:r>
        <w:t>The 2021-2022 period represents peak data center operation, with 50-70% higher energy consumption than surrounding areas. This coincides with the pre-ChatGPT ML boom and widespread AI model training.</w:t>
      </w:r>
    </w:p>
    <w:p>
      <w:pPr>
        <w:pStyle w:val="Heading2"/>
      </w:pPr>
      <w:r>
        <w:t>Lifecycle Phases</w:t>
      </w:r>
    </w:p>
    <w:p>
      <w:r>
        <w:t>The data clearly shows three distinct phases: (1) Construction/Commissioning (2017), (2) Peak Operations (2018-2024), and (3) Migration/Decommission (2025). Each phase has distinct energy signatures.</w:t>
      </w:r>
    </w:p>
    <w:p>
      <w:pPr>
        <w:pStyle w:val="Heading2"/>
      </w:pPr>
      <w:r>
        <w:t>Energy Policy Implications</w:t>
      </w:r>
    </w:p>
    <w:p>
      <w:r>
        <w:t>Data centers are major energy consumers requiring infrastructure planning. AI/ML workloads create volatile demand patterns that must be accounted for in grid planning and sustainability initiatives.</w:t>
      </w:r>
    </w:p>
    <w:p>
      <w:r>
        <w:br w:type="page"/>
      </w:r>
    </w:p>
    <w:p>
      <w:pPr>
        <w:pStyle w:val="Heading1"/>
      </w:pPr>
      <w:r>
        <w:t>Load Masking Correction Details</w:t>
      </w:r>
    </w:p>
    <w:p>
      <w:r>
        <w:t>Load masking was detected and corrected using an intelligent algorithm that identifies periods when ZIP 95113 shows suspiciously low usage (&lt; 50% of baseline) while neighboring ZIP codes show abnormally high usage (&gt; 50% above their baseline). This pattern suggests the data center load is being reported under a neighboring ZIP code.</w:t>
      </w:r>
    </w:p>
    <w:p/>
    <w:p>
      <w:pPr>
        <w:pStyle w:val="Heading2"/>
      </w:pPr>
      <w:r>
        <w:t>Reallocation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95113 Before (kWh)</w:t>
            </w:r>
          </w:p>
        </w:tc>
        <w:tc>
          <w:tcPr>
            <w:tcW w:type="dxa" w:w="1728"/>
          </w:tcPr>
          <w:p>
            <w:r>
              <w:t>95113 After (kWh)</w:t>
            </w:r>
          </w:p>
        </w:tc>
        <w:tc>
          <w:tcPr>
            <w:tcW w:type="dxa" w:w="1728"/>
          </w:tcPr>
          <w:p>
            <w:r>
              <w:t>Source ZIP</w:t>
            </w:r>
          </w:p>
        </w:tc>
        <w:tc>
          <w:tcPr>
            <w:tcW w:type="dxa" w:w="1728"/>
          </w:tcPr>
          <w:p>
            <w:r>
              <w:t>Reallocated (kWh)</w:t>
            </w:r>
          </w:p>
        </w:tc>
      </w:tr>
      <w:tr>
        <w:tc>
          <w:tcPr>
            <w:tcW w:type="dxa" w:w="1728"/>
          </w:tcPr>
          <w:p>
            <w:r>
              <w:t>Feb 2017</w:t>
            </w:r>
          </w:p>
        </w:tc>
        <w:tc>
          <w:tcPr>
            <w:tcW w:type="dxa" w:w="1728"/>
          </w:tcPr>
          <w:p>
            <w:r>
              <w:t>446,339</w:t>
            </w:r>
          </w:p>
        </w:tc>
        <w:tc>
          <w:tcPr>
            <w:tcW w:type="dxa" w:w="1728"/>
          </w:tcPr>
          <w:p>
            <w:r>
              <w:t>155,301,218</w:t>
            </w:r>
          </w:p>
        </w:tc>
        <w:tc>
          <w:tcPr>
            <w:tcW w:type="dxa" w:w="1728"/>
          </w:tcPr>
          <w:p>
            <w:r>
              <w:t>95112</w:t>
            </w:r>
          </w:p>
        </w:tc>
        <w:tc>
          <w:tcPr>
            <w:tcW w:type="dxa" w:w="1728"/>
          </w:tcPr>
          <w:p>
            <w:r>
              <w:t>154,854,879</w:t>
            </w:r>
          </w:p>
        </w:tc>
      </w:tr>
      <w:tr>
        <w:tc>
          <w:tcPr>
            <w:tcW w:type="dxa" w:w="1728"/>
          </w:tcPr>
          <w:p>
            <w:r>
              <w:t>Jan 2021</w:t>
            </w:r>
          </w:p>
        </w:tc>
        <w:tc>
          <w:tcPr>
            <w:tcW w:type="dxa" w:w="1728"/>
          </w:tcPr>
          <w:p>
            <w:r>
              <w:t>696,553</w:t>
            </w:r>
          </w:p>
        </w:tc>
        <w:tc>
          <w:tcPr>
            <w:tcW w:type="dxa" w:w="1728"/>
          </w:tcPr>
          <w:p>
            <w:r>
              <w:t>6,484,074</w:t>
            </w:r>
          </w:p>
        </w:tc>
        <w:tc>
          <w:tcPr>
            <w:tcW w:type="dxa" w:w="1728"/>
          </w:tcPr>
          <w:p>
            <w:r>
              <w:t>95116</w:t>
            </w:r>
          </w:p>
        </w:tc>
        <w:tc>
          <w:tcPr>
            <w:tcW w:type="dxa" w:w="1728"/>
          </w:tcPr>
          <w:p>
            <w:r>
              <w:t>5,787,521</w:t>
            </w:r>
          </w:p>
        </w:tc>
      </w:tr>
      <w:tr>
        <w:tc>
          <w:tcPr>
            <w:tcW w:type="dxa" w:w="1728"/>
          </w:tcPr>
          <w:p>
            <w:r>
              <w:t>Mar 2021</w:t>
            </w:r>
          </w:p>
        </w:tc>
        <w:tc>
          <w:tcPr>
            <w:tcW w:type="dxa" w:w="1728"/>
          </w:tcPr>
          <w:p>
            <w:r>
              <w:t>641,244</w:t>
            </w:r>
          </w:p>
        </w:tc>
        <w:tc>
          <w:tcPr>
            <w:tcW w:type="dxa" w:w="1728"/>
          </w:tcPr>
          <w:p>
            <w:r>
              <w:t>5,861,806</w:t>
            </w:r>
          </w:p>
        </w:tc>
        <w:tc>
          <w:tcPr>
            <w:tcW w:type="dxa" w:w="1728"/>
          </w:tcPr>
          <w:p>
            <w:r>
              <w:t>95116</w:t>
            </w:r>
          </w:p>
        </w:tc>
        <w:tc>
          <w:tcPr>
            <w:tcW w:type="dxa" w:w="1728"/>
          </w:tcPr>
          <w:p>
            <w:r>
              <w:t>5,220,562</w:t>
            </w:r>
          </w:p>
        </w:tc>
      </w:tr>
      <w:tr>
        <w:tc>
          <w:tcPr>
            <w:tcW w:type="dxa" w:w="1728"/>
          </w:tcPr>
          <w:p>
            <w:r>
              <w:t>Jun 2021</w:t>
            </w:r>
          </w:p>
        </w:tc>
        <w:tc>
          <w:tcPr>
            <w:tcW w:type="dxa" w:w="1728"/>
          </w:tcPr>
          <w:p>
            <w:r>
              <w:t>735,704</w:t>
            </w:r>
          </w:p>
        </w:tc>
        <w:tc>
          <w:tcPr>
            <w:tcW w:type="dxa" w:w="1728"/>
          </w:tcPr>
          <w:p>
            <w:r>
              <w:t>7,348,148</w:t>
            </w:r>
          </w:p>
        </w:tc>
        <w:tc>
          <w:tcPr>
            <w:tcW w:type="dxa" w:w="1728"/>
          </w:tcPr>
          <w:p>
            <w:r>
              <w:t>95116</w:t>
            </w:r>
          </w:p>
        </w:tc>
        <w:tc>
          <w:tcPr>
            <w:tcW w:type="dxa" w:w="1728"/>
          </w:tcPr>
          <w:p>
            <w:r>
              <w:t>6,612,444</w:t>
            </w:r>
          </w:p>
        </w:tc>
      </w:tr>
      <w:tr>
        <w:tc>
          <w:tcPr>
            <w:tcW w:type="dxa" w:w="1728"/>
          </w:tcPr>
          <w:p>
            <w:r>
              <w:t>Jul 2021</w:t>
            </w:r>
          </w:p>
        </w:tc>
        <w:tc>
          <w:tcPr>
            <w:tcW w:type="dxa" w:w="1728"/>
          </w:tcPr>
          <w:p>
            <w:r>
              <w:t>771,928</w:t>
            </w:r>
          </w:p>
        </w:tc>
        <w:tc>
          <w:tcPr>
            <w:tcW w:type="dxa" w:w="1728"/>
          </w:tcPr>
          <w:p>
            <w:r>
              <w:t>18,270,393</w:t>
            </w:r>
          </w:p>
        </w:tc>
        <w:tc>
          <w:tcPr>
            <w:tcW w:type="dxa" w:w="1728"/>
          </w:tcPr>
          <w:p>
            <w:r>
              <w:t>95112</w:t>
            </w:r>
          </w:p>
        </w:tc>
        <w:tc>
          <w:tcPr>
            <w:tcW w:type="dxa" w:w="1728"/>
          </w:tcPr>
          <w:p>
            <w:r>
              <w:t>17,498,465</w:t>
            </w:r>
          </w:p>
        </w:tc>
      </w:tr>
      <w:tr>
        <w:tc>
          <w:tcPr>
            <w:tcW w:type="dxa" w:w="1728"/>
          </w:tcPr>
          <w:p>
            <w:r>
              <w:t>Sep 2021</w:t>
            </w:r>
          </w:p>
        </w:tc>
        <w:tc>
          <w:tcPr>
            <w:tcW w:type="dxa" w:w="1728"/>
          </w:tcPr>
          <w:p>
            <w:r>
              <w:t>772,520</w:t>
            </w:r>
          </w:p>
        </w:tc>
        <w:tc>
          <w:tcPr>
            <w:tcW w:type="dxa" w:w="1728"/>
          </w:tcPr>
          <w:p>
            <w:r>
              <w:t>7,236,563</w:t>
            </w:r>
          </w:p>
        </w:tc>
        <w:tc>
          <w:tcPr>
            <w:tcW w:type="dxa" w:w="1728"/>
          </w:tcPr>
          <w:p>
            <w:r>
              <w:t>95116</w:t>
            </w:r>
          </w:p>
        </w:tc>
        <w:tc>
          <w:tcPr>
            <w:tcW w:type="dxa" w:w="1728"/>
          </w:tcPr>
          <w:p>
            <w:r>
              <w:t>6,464,043</w:t>
            </w:r>
          </w:p>
        </w:tc>
      </w:tr>
      <w:tr>
        <w:tc>
          <w:tcPr>
            <w:tcW w:type="dxa" w:w="1728"/>
          </w:tcPr>
          <w:p>
            <w:r>
              <w:t>Jan 2023</w:t>
            </w:r>
          </w:p>
        </w:tc>
        <w:tc>
          <w:tcPr>
            <w:tcW w:type="dxa" w:w="1728"/>
          </w:tcPr>
          <w:p>
            <w:r>
              <w:t>789,036</w:t>
            </w:r>
          </w:p>
        </w:tc>
        <w:tc>
          <w:tcPr>
            <w:tcW w:type="dxa" w:w="1728"/>
          </w:tcPr>
          <w:p>
            <w:r>
              <w:t>62,698,516</w:t>
            </w:r>
          </w:p>
        </w:tc>
        <w:tc>
          <w:tcPr>
            <w:tcW w:type="dxa" w:w="1728"/>
          </w:tcPr>
          <w:p>
            <w:r>
              <w:t>95112</w:t>
            </w:r>
          </w:p>
        </w:tc>
        <w:tc>
          <w:tcPr>
            <w:tcW w:type="dxa" w:w="1728"/>
          </w:tcPr>
          <w:p>
            <w:r>
              <w:t>61,909,480</w:t>
            </w:r>
          </w:p>
        </w:tc>
      </w:tr>
      <w:tr>
        <w:tc>
          <w:tcPr>
            <w:tcW w:type="dxa" w:w="1728"/>
          </w:tcPr>
          <w:p>
            <w:r>
              <w:t>Feb 2023</w:t>
            </w:r>
          </w:p>
        </w:tc>
        <w:tc>
          <w:tcPr>
            <w:tcW w:type="dxa" w:w="1728"/>
          </w:tcPr>
          <w:p>
            <w:r>
              <w:t>735,502</w:t>
            </w:r>
          </w:p>
        </w:tc>
        <w:tc>
          <w:tcPr>
            <w:tcW w:type="dxa" w:w="1728"/>
          </w:tcPr>
          <w:p>
            <w:r>
              <w:t>201,425,151</w:t>
            </w:r>
          </w:p>
        </w:tc>
        <w:tc>
          <w:tcPr>
            <w:tcW w:type="dxa" w:w="1728"/>
          </w:tcPr>
          <w:p>
            <w:r>
              <w:t>95112</w:t>
            </w:r>
          </w:p>
        </w:tc>
        <w:tc>
          <w:tcPr>
            <w:tcW w:type="dxa" w:w="1728"/>
          </w:tcPr>
          <w:p>
            <w:r>
              <w:t>200,689,649</w:t>
            </w:r>
          </w:p>
        </w:tc>
      </w:tr>
      <w:tr>
        <w:tc>
          <w:tcPr>
            <w:tcW w:type="dxa" w:w="1728"/>
          </w:tcPr>
          <w:p>
            <w:r>
              <w:t>Apr 2023</w:t>
            </w:r>
          </w:p>
        </w:tc>
        <w:tc>
          <w:tcPr>
            <w:tcW w:type="dxa" w:w="1728"/>
          </w:tcPr>
          <w:p>
            <w:r>
              <w:t>651,652</w:t>
            </w:r>
          </w:p>
        </w:tc>
        <w:tc>
          <w:tcPr>
            <w:tcW w:type="dxa" w:w="1728"/>
          </w:tcPr>
          <w:p>
            <w:r>
              <w:t>177,479,890</w:t>
            </w:r>
          </w:p>
        </w:tc>
        <w:tc>
          <w:tcPr>
            <w:tcW w:type="dxa" w:w="1728"/>
          </w:tcPr>
          <w:p>
            <w:r>
              <w:t>95112</w:t>
            </w:r>
          </w:p>
        </w:tc>
        <w:tc>
          <w:tcPr>
            <w:tcW w:type="dxa" w:w="1728"/>
          </w:tcPr>
          <w:p>
            <w:r>
              <w:t>176,828,238</w:t>
            </w:r>
          </w:p>
        </w:tc>
      </w:tr>
      <w:tr>
        <w:tc>
          <w:tcPr>
            <w:tcW w:type="dxa" w:w="1728"/>
          </w:tcPr>
          <w:p>
            <w:r>
              <w:t>Oct 2023</w:t>
            </w:r>
          </w:p>
        </w:tc>
        <w:tc>
          <w:tcPr>
            <w:tcW w:type="dxa" w:w="1728"/>
          </w:tcPr>
          <w:p>
            <w:r>
              <w:t>726,628</w:t>
            </w:r>
          </w:p>
        </w:tc>
        <w:tc>
          <w:tcPr>
            <w:tcW w:type="dxa" w:w="1728"/>
          </w:tcPr>
          <w:p>
            <w:r>
              <w:t>93,000,971</w:t>
            </w:r>
          </w:p>
        </w:tc>
        <w:tc>
          <w:tcPr>
            <w:tcW w:type="dxa" w:w="1728"/>
          </w:tcPr>
          <w:p>
            <w:r>
              <w:t>95112</w:t>
            </w:r>
          </w:p>
        </w:tc>
        <w:tc>
          <w:tcPr>
            <w:tcW w:type="dxa" w:w="1728"/>
          </w:tcPr>
          <w:p>
            <w:r>
              <w:t>92,274,343</w:t>
            </w:r>
          </w:p>
        </w:tc>
      </w:tr>
    </w:tbl>
    <w:p>
      <w:r>
        <w:br/>
        <w:t>Showing first 10 of 23 total reallocations.</w:t>
      </w:r>
    </w:p>
    <w:p/>
    <w:p>
      <w:r>
        <w:t>Total energy reallocated to ZIP 95113: 1,911,981,623 kWh</w:t>
      </w:r>
    </w:p>
    <w:p>
      <w:r>
        <w:br w:type="page"/>
      </w:r>
    </w:p>
    <w:p>
      <w:pPr>
        <w:pStyle w:val="Heading1"/>
      </w:pPr>
      <w:r>
        <w:t>Methodology</w:t>
      </w:r>
    </w:p>
    <w:p>
      <w:r>
        <w:t>This analysis utilized PG&amp;E electric usage data by ZIP code from 2015 to 2025.</w:t>
      </w:r>
    </w:p>
    <w:p/>
    <w:p>
      <w:r>
        <w:t>Data Sources:</w:t>
      </w:r>
    </w:p>
    <w:p>
      <w:pPr>
        <w:pStyle w:val="ListBullet"/>
      </w:pPr>
      <w:r>
        <w:t>• Data Center ZIP: 95113 (San Jose, CA)</w:t>
      </w:r>
    </w:p>
    <w:p>
      <w:pPr>
        <w:pStyle w:val="ListBullet"/>
      </w:pPr>
      <w:r>
        <w:t>• Comparison ZIPs: 95045, 95127, 95205, 95003</w:t>
      </w:r>
    </w:p>
    <w:p>
      <w:pPr>
        <w:pStyle w:val="ListBullet"/>
      </w:pPr>
      <w:r>
        <w:t>• Neighboring ZIPs for Load Masking Detection: 95110, 95111, 95112, 95116, 95117, 95118</w:t>
      </w:r>
    </w:p>
    <w:p>
      <w:pPr>
        <w:pStyle w:val="ListBullet"/>
      </w:pPr>
      <w:r>
        <w:t>• Customer Classes: Commercial, Residential, and Industrial only</w:t>
      </w:r>
    </w:p>
    <w:p>
      <w:pPr>
        <w:pStyle w:val="ListBullet"/>
      </w:pPr>
      <w:r>
        <w:t>• Agricultural customers excluded from analysis</w:t>
      </w:r>
    </w:p>
    <w:p>
      <w:pPr>
        <w:pStyle w:val="ListBullet"/>
      </w:pPr>
      <w:r>
        <w:t>• Data aggregated monthly across customer classes</w:t>
      </w:r>
    </w:p>
    <w:p>
      <w:pPr>
        <w:pStyle w:val="ListBullet"/>
      </w:pPr>
      <w:r>
        <w:t>• Comparison metric: average of four surrounding ZIP codes</w:t>
      </w:r>
    </w:p>
    <w:p/>
    <w:p>
      <w:r>
        <w:t>Analysis Period: July 2016 - September 2025 (111 months)</w:t>
      </w:r>
    </w:p>
    <w:p/>
    <w:p>
      <w:r>
        <w:t>Load Masking Correction:</w:t>
      </w:r>
    </w:p>
    <w:p>
      <w:pPr>
        <w:pStyle w:val="ListBullet"/>
      </w:pPr>
      <w:r>
        <w:t>• Baseline (median) usage calculated for each ZIP code</w:t>
      </w:r>
    </w:p>
    <w:p>
      <w:pPr>
        <w:pStyle w:val="ListBullet"/>
      </w:pPr>
      <w:r>
        <w:t>• Suspicious periods identified: 95113 usage &lt; 50% of baseline</w:t>
      </w:r>
    </w:p>
    <w:p>
      <w:pPr>
        <w:pStyle w:val="ListBullet"/>
      </w:pPr>
      <w:r>
        <w:t>• Neighboring ZIPs checked for abnormal usage (&gt; 50% above baseline)</w:t>
      </w:r>
    </w:p>
    <w:p>
      <w:pPr>
        <w:pStyle w:val="ListBullet"/>
      </w:pPr>
      <w:r>
        <w:t>• Excess usage reallocated from neighbor to ZIP 95113 when pattern detected</w:t>
      </w:r>
    </w:p>
    <w:p>
      <w:pPr>
        <w:pStyle w:val="ListBullet"/>
      </w:pPr>
      <w:r>
        <w:t>• Total reallocations: 23</w:t>
      </w:r>
    </w:p>
    <w:p>
      <w:pPr>
        <w:pStyle w:val="ListBullet"/>
      </w:pPr>
      <w:r>
        <w:t>• Documentation provided for all reallocations</w:t>
      </w:r>
    </w:p>
    <w:p/>
    <w:p>
      <w:r>
        <w:t>Key Metrics:</w:t>
      </w:r>
    </w:p>
    <w:p>
      <w:pPr>
        <w:pStyle w:val="ListBullet"/>
      </w:pPr>
      <w:r>
        <w:t>• Total kWh usage per month (load-masking corrected)</w:t>
      </w:r>
    </w:p>
    <w:p>
      <w:pPr>
        <w:pStyle w:val="ListBullet"/>
      </w:pPr>
      <w:r>
        <w:t>• Month-over-month percentage change</w:t>
      </w:r>
    </w:p>
    <w:p>
      <w:pPr>
        <w:pStyle w:val="ListBullet"/>
      </w:pPr>
      <w:r>
        <w:t>• Year-over-year trends</w:t>
      </w:r>
    </w:p>
    <w:p>
      <w:pPr>
        <w:pStyle w:val="ListBullet"/>
      </w:pPr>
      <w:r>
        <w:t>• Comparative analysis with regional baseline</w:t>
      </w:r>
    </w:p>
    <w:p/>
    <w:p>
      <w:r>
        <w:t>Data Quality:</w:t>
      </w:r>
    </w:p>
    <w:p>
      <w:pPr>
        <w:pStyle w:val="ListBullet"/>
      </w:pPr>
      <w:r>
        <w:t>• Missing values removed</w:t>
      </w:r>
    </w:p>
    <w:p>
      <w:pPr>
        <w:pStyle w:val="ListBullet"/>
      </w:pPr>
      <w:r>
        <w:t>• Duplicates eliminated</w:t>
      </w:r>
    </w:p>
    <w:p>
      <w:pPr>
        <w:pStyle w:val="ListBullet"/>
      </w:pPr>
      <w:r>
        <w:t>• Numeric fields validated and cleaned</w:t>
      </w:r>
    </w:p>
    <w:p>
      <w:pPr>
        <w:pStyle w:val="ListBullet"/>
      </w:pPr>
      <w:r>
        <w:t>• Low-usage periods flagged and investigated for load masking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