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Data Center Energy Usage Analysis</w:t>
      </w:r>
    </w:p>
    <w:p>
      <w:pPr>
        <w:jc w:val="center"/>
      </w:pPr>
      <w:r>
        <w:rPr>
          <w:color w:val="808080"/>
          <w:sz w:val="28"/>
        </w:rPr>
        <w:t>ZIP Code 95113 vs Surrounding Areas (2016-2025)</w:t>
      </w:r>
    </w:p>
    <w:p/>
    <w:p>
      <w:pPr>
        <w:pStyle w:val="Heading1"/>
      </w:pPr>
      <w:r>
        <w:t>Executive Summary</w:t>
      </w:r>
    </w:p>
    <w:p>
      <w:pPr>
        <w:pStyle w:val="Heading2"/>
      </w:pPr>
      <w:r>
        <w:t>1. Construction &amp; Commissioning (2016-2017)</w:t>
      </w:r>
    </w:p>
    <w:p>
      <w:pPr>
        <w:pStyle w:val="ListBullet"/>
      </w:pPr>
      <w:r>
        <w:t>September 2017: Unprecedented spike to 24.5M kWh</w:t>
      </w:r>
    </w:p>
    <w:p>
      <w:pPr>
        <w:pStyle w:val="ListBullet"/>
      </w:pPr>
      <w:r>
        <w:t>2,200%+ increase suggests initial data center build-out</w:t>
      </w:r>
    </w:p>
    <w:p>
      <w:pPr>
        <w:pStyle w:val="ListBullet"/>
      </w:pPr>
      <w:r>
        <w:t>Followed by intermittent drops during commissioning phase</w:t>
      </w:r>
    </w:p>
    <w:p>
      <w:pPr>
        <w:pStyle w:val="ListBullet"/>
      </w:pPr>
      <w:r>
        <w:t>Baseline established around 10-12M kWh/month by late 2017</w:t>
      </w:r>
    </w:p>
    <w:p>
      <w:pPr>
        <w:pStyle w:val="Heading2"/>
      </w:pPr>
      <w:r>
        <w:t>2. Steady Operations (2018-2020)</w:t>
      </w:r>
    </w:p>
    <w:p>
      <w:pPr>
        <w:pStyle w:val="ListBullet"/>
      </w:pPr>
      <w:r>
        <w:t>Relatively stable usage: 8-12M kWh/month</w:t>
      </w:r>
    </w:p>
    <w:p>
      <w:pPr>
        <w:pStyle w:val="ListBullet"/>
      </w:pPr>
      <w:r>
        <w:t>Similar to comparison ZIP codes average (10M kWh)</w:t>
      </w:r>
    </w:p>
    <w:p>
      <w:pPr>
        <w:pStyle w:val="ListBullet"/>
      </w:pPr>
      <w:r>
        <w:t>Typical data center operations without major expansion</w:t>
      </w:r>
    </w:p>
    <w:p>
      <w:pPr>
        <w:pStyle w:val="Heading2"/>
      </w:pPr>
      <w:r>
        <w:t>3. AI/ML Boom Era (2021-2022)</w:t>
      </w:r>
    </w:p>
    <w:p>
      <w:pPr>
        <w:pStyle w:val="ListBullet"/>
      </w:pPr>
      <w:r>
        <w:t>August 2021: Major surge to 17.7M kWh</w:t>
      </w:r>
    </w:p>
    <w:p>
      <w:pPr>
        <w:pStyle w:val="ListBullet"/>
      </w:pPr>
      <w:r>
        <w:t>Summer 2022 PEAK: 18.3M kWh (August)</w:t>
      </w:r>
    </w:p>
    <w:p>
      <w:pPr>
        <w:pStyle w:val="ListBullet"/>
      </w:pPr>
      <w:r>
        <w:t>Timeline coincides with GPT-3 adoption, DALL-E 2, and Stable Diffusion</w:t>
      </w:r>
    </w:p>
    <w:p>
      <w:pPr>
        <w:pStyle w:val="ListBullet"/>
      </w:pPr>
      <w:r>
        <w:t>50-70% increase over 2019 baseline</w:t>
      </w:r>
    </w:p>
    <w:p>
      <w:pPr>
        <w:pStyle w:val="Heading2"/>
      </w:pPr>
      <w:r>
        <w:t>4. Generative AI Explosion (2023-2024)</w:t>
      </w:r>
    </w:p>
    <w:p>
      <w:pPr>
        <w:pStyle w:val="ListBullet"/>
      </w:pPr>
      <w:r>
        <w:t>March-May 2023: Spikes to 14-15M kWh (GPT-4 launch)</w:t>
      </w:r>
    </w:p>
    <w:p>
      <w:pPr>
        <w:pStyle w:val="ListBullet"/>
      </w:pPr>
      <w:r>
        <w:t>Sustained high usage throughout 2023-2024</w:t>
      </w:r>
    </w:p>
    <w:p>
      <w:pPr>
        <w:pStyle w:val="ListBullet"/>
      </w:pPr>
      <w:r>
        <w:t>Consistent 13-17M kWh range</w:t>
      </w:r>
    </w:p>
    <w:p>
      <w:pPr>
        <w:pStyle w:val="ListBullet"/>
      </w:pPr>
      <w:r>
        <w:t>Clear correlation with generative AI adoption</w:t>
      </w:r>
    </w:p>
    <w:p>
      <w:pPr>
        <w:pStyle w:val="Heading2"/>
      </w:pPr>
      <w:r>
        <w:t>5. Dramatic Shift (2025)</w:t>
      </w:r>
    </w:p>
    <w:p>
      <w:pPr>
        <w:pStyle w:val="ListBullet"/>
      </w:pPr>
      <w:r>
        <w:t>January 2025: Sudden drop to ~700K kWh</w:t>
      </w:r>
    </w:p>
    <w:p>
      <w:pPr>
        <w:pStyle w:val="ListBullet"/>
      </w:pPr>
      <w:r>
        <w:t>90%+ reduction from 2022-2024 peak</w:t>
      </w:r>
    </w:p>
    <w:p>
      <w:pPr>
        <w:pStyle w:val="ListBullet"/>
      </w:pPr>
      <w:r>
        <w:t>Sustained low usage through September 2025</w:t>
      </w:r>
    </w:p>
    <w:p>
      <w:pPr>
        <w:pStyle w:val="ListBullet"/>
      </w:pPr>
      <w:r>
        <w:t>Most likely: data center relocated or consolidated</w:t>
      </w:r>
    </w:p>
    <w:p>
      <w:r>
        <w:br w:type="page"/>
      </w:r>
    </w:p>
    <w:p>
      <w:pPr>
        <w:pStyle w:val="Heading1"/>
      </w:pPr>
      <w:r>
        <w:t>Detailed Usage Comparison</w:t>
      </w:r>
    </w:p>
    <w:p>
      <w:pPr>
        <w:pStyle w:val="Heading2"/>
      </w:pPr>
      <w:r>
        <w:t>Overall Statistics (Excluding Low-Usage Periods)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Data Center (95113)</w:t>
            </w:r>
          </w:p>
        </w:tc>
        <w:tc>
          <w:tcPr>
            <w:tcW w:type="dxa" w:w="2880"/>
          </w:tcPr>
          <w:p>
            <w:r>
              <w:t>Comparison ZIPs (Avg)</w:t>
            </w:r>
          </w:p>
        </w:tc>
      </w:tr>
      <w:tr>
        <w:tc>
          <w:tcPr>
            <w:tcW w:type="dxa" w:w="2880"/>
          </w:tcPr>
          <w:p>
            <w:r>
              <w:t>Average Monthly Usage</w:t>
            </w:r>
          </w:p>
        </w:tc>
        <w:tc>
          <w:tcPr>
            <w:tcW w:type="dxa" w:w="2880"/>
          </w:tcPr>
          <w:p>
            <w:r>
              <w:t>12,492,348 kWh</w:t>
            </w:r>
          </w:p>
        </w:tc>
        <w:tc>
          <w:tcPr>
            <w:tcW w:type="dxa" w:w="2880"/>
          </w:tcPr>
          <w:p>
            <w:r>
              <w:t>9,943,613 kWh</w:t>
            </w:r>
          </w:p>
        </w:tc>
      </w:tr>
      <w:tr>
        <w:tc>
          <w:tcPr>
            <w:tcW w:type="dxa" w:w="2880"/>
          </w:tcPr>
          <w:p>
            <w:r>
              <w:t>Peak Usage</w:t>
            </w:r>
          </w:p>
        </w:tc>
        <w:tc>
          <w:tcPr>
            <w:tcW w:type="dxa" w:w="2880"/>
          </w:tcPr>
          <w:p>
            <w:r>
              <w:t>24,516,283 kWh</w:t>
            </w:r>
          </w:p>
        </w:tc>
        <w:tc>
          <w:tcPr>
            <w:tcW w:type="dxa" w:w="2880"/>
          </w:tcPr>
          <w:p>
            <w:r>
              <w:t>29,915,908 kWh</w:t>
            </w:r>
          </w:p>
        </w:tc>
      </w:tr>
      <w:tr>
        <w:tc>
          <w:tcPr>
            <w:tcW w:type="dxa" w:w="2880"/>
          </w:tcPr>
          <w:p>
            <w:r>
              <w:t>Difference</w:t>
            </w:r>
          </w:p>
        </w:tc>
        <w:tc>
          <w:tcPr>
            <w:tcW w:type="dxa" w:w="2880"/>
          </w:tcPr>
          <w:p>
            <w:r>
              <w:t>+2,548,735 kWh (+25.6%)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>
      <w:pPr>
        <w:pStyle w:val="Heading2"/>
      </w:pPr>
      <w:r>
        <w:t>Year-by-Year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Year</w:t>
            </w:r>
          </w:p>
        </w:tc>
        <w:tc>
          <w:tcPr>
            <w:tcW w:type="dxa" w:w="1728"/>
          </w:tcPr>
          <w:p>
            <w:r>
              <w:t>DC Avg (kWh)</w:t>
            </w:r>
          </w:p>
        </w:tc>
        <w:tc>
          <w:tcPr>
            <w:tcW w:type="dxa" w:w="1728"/>
          </w:tcPr>
          <w:p>
            <w:r>
              <w:t>Comparison Avg (kWh)</w:t>
            </w:r>
          </w:p>
        </w:tc>
        <w:tc>
          <w:tcPr>
            <w:tcW w:type="dxa" w:w="1728"/>
          </w:tcPr>
          <w:p>
            <w:r>
              <w:t>Difference (kWh)</w:t>
            </w:r>
          </w:p>
        </w:tc>
        <w:tc>
          <w:tcPr>
            <w:tcW w:type="dxa" w:w="1728"/>
          </w:tcPr>
          <w:p>
            <w:r>
              <w:t>Difference (%)</w:t>
            </w:r>
          </w:p>
        </w:tc>
      </w:tr>
      <w:tr>
        <w:tc>
          <w:tcPr>
            <w:tcW w:type="dxa" w:w="1728"/>
          </w:tcPr>
          <w:p>
            <w:r>
              <w:t>2016</w:t>
            </w:r>
          </w:p>
        </w:tc>
        <w:tc>
          <w:tcPr>
            <w:tcW w:type="dxa" w:w="1728"/>
          </w:tcPr>
          <w:p>
            <w:r>
              <w:t>10,957,302</w:t>
            </w:r>
          </w:p>
        </w:tc>
        <w:tc>
          <w:tcPr>
            <w:tcW w:type="dxa" w:w="1728"/>
          </w:tcPr>
          <w:p>
            <w:r>
              <w:t>10,029,772</w:t>
            </w:r>
          </w:p>
        </w:tc>
        <w:tc>
          <w:tcPr>
            <w:tcW w:type="dxa" w:w="1728"/>
          </w:tcPr>
          <w:p>
            <w:r>
              <w:t>+927,530</w:t>
            </w:r>
          </w:p>
        </w:tc>
        <w:tc>
          <w:tcPr>
            <w:tcW w:type="dxa" w:w="1728"/>
          </w:tcPr>
          <w:p>
            <w:r>
              <w:t>+9.2%</w:t>
            </w:r>
          </w:p>
        </w:tc>
      </w:tr>
      <w:tr>
        <w:tc>
          <w:tcPr>
            <w:tcW w:type="dxa" w:w="1728"/>
          </w:tcPr>
          <w:p>
            <w:r>
              <w:t>2017</w:t>
            </w:r>
          </w:p>
        </w:tc>
        <w:tc>
          <w:tcPr>
            <w:tcW w:type="dxa" w:w="1728"/>
          </w:tcPr>
          <w:p>
            <w:r>
              <w:t>9,575,441</w:t>
            </w:r>
          </w:p>
        </w:tc>
        <w:tc>
          <w:tcPr>
            <w:tcW w:type="dxa" w:w="1728"/>
          </w:tcPr>
          <w:p>
            <w:r>
              <w:t>10,222,857</w:t>
            </w:r>
          </w:p>
        </w:tc>
        <w:tc>
          <w:tcPr>
            <w:tcW w:type="dxa" w:w="1728"/>
          </w:tcPr>
          <w:p>
            <w:r>
              <w:t>-647,416</w:t>
            </w:r>
          </w:p>
        </w:tc>
        <w:tc>
          <w:tcPr>
            <w:tcW w:type="dxa" w:w="1728"/>
          </w:tcPr>
          <w:p>
            <w:r>
              <w:t>-6.3%</w:t>
            </w:r>
          </w:p>
        </w:tc>
      </w:tr>
      <w:tr>
        <w:tc>
          <w:tcPr>
            <w:tcW w:type="dxa" w:w="1728"/>
          </w:tcPr>
          <w:p>
            <w:r>
              <w:t>2018</w:t>
            </w:r>
          </w:p>
        </w:tc>
        <w:tc>
          <w:tcPr>
            <w:tcW w:type="dxa" w:w="1728"/>
          </w:tcPr>
          <w:p>
            <w:r>
              <w:t>10,304,196</w:t>
            </w:r>
          </w:p>
        </w:tc>
        <w:tc>
          <w:tcPr>
            <w:tcW w:type="dxa" w:w="1728"/>
          </w:tcPr>
          <w:p>
            <w:r>
              <w:t>9,259,488</w:t>
            </w:r>
          </w:p>
        </w:tc>
        <w:tc>
          <w:tcPr>
            <w:tcW w:type="dxa" w:w="1728"/>
          </w:tcPr>
          <w:p>
            <w:r>
              <w:t>+1,044,707</w:t>
            </w:r>
          </w:p>
        </w:tc>
        <w:tc>
          <w:tcPr>
            <w:tcW w:type="dxa" w:w="1728"/>
          </w:tcPr>
          <w:p>
            <w:r>
              <w:t>+11.3%</w:t>
            </w:r>
          </w:p>
        </w:tc>
      </w:tr>
      <w:tr>
        <w:tc>
          <w:tcPr>
            <w:tcW w:type="dxa" w:w="1728"/>
          </w:tcPr>
          <w:p>
            <w:r>
              <w:t>2019</w:t>
            </w:r>
          </w:p>
        </w:tc>
        <w:tc>
          <w:tcPr>
            <w:tcW w:type="dxa" w:w="1728"/>
          </w:tcPr>
          <w:p>
            <w:r>
              <w:t>9,842,884</w:t>
            </w:r>
          </w:p>
        </w:tc>
        <w:tc>
          <w:tcPr>
            <w:tcW w:type="dxa" w:w="1728"/>
          </w:tcPr>
          <w:p>
            <w:r>
              <w:t>9,287,398</w:t>
            </w:r>
          </w:p>
        </w:tc>
        <w:tc>
          <w:tcPr>
            <w:tcW w:type="dxa" w:w="1728"/>
          </w:tcPr>
          <w:p>
            <w:r>
              <w:t>+555,486</w:t>
            </w:r>
          </w:p>
        </w:tc>
        <w:tc>
          <w:tcPr>
            <w:tcW w:type="dxa" w:w="1728"/>
          </w:tcPr>
          <w:p>
            <w:r>
              <w:t>+6.0%</w:t>
            </w:r>
          </w:p>
        </w:tc>
      </w:tr>
      <w:tr>
        <w:tc>
          <w:tcPr>
            <w:tcW w:type="dxa" w:w="1728"/>
          </w:tcPr>
          <w:p>
            <w:r>
              <w:t>2020</w:t>
            </w:r>
          </w:p>
        </w:tc>
        <w:tc>
          <w:tcPr>
            <w:tcW w:type="dxa" w:w="1728"/>
          </w:tcPr>
          <w:p>
            <w:r>
              <w:t>8,794,092</w:t>
            </w:r>
          </w:p>
        </w:tc>
        <w:tc>
          <w:tcPr>
            <w:tcW w:type="dxa" w:w="1728"/>
          </w:tcPr>
          <w:p>
            <w:r>
              <w:t>9,576,792</w:t>
            </w:r>
          </w:p>
        </w:tc>
        <w:tc>
          <w:tcPr>
            <w:tcW w:type="dxa" w:w="1728"/>
          </w:tcPr>
          <w:p>
            <w:r>
              <w:t>-782,700</w:t>
            </w:r>
          </w:p>
        </w:tc>
        <w:tc>
          <w:tcPr>
            <w:tcW w:type="dxa" w:w="1728"/>
          </w:tcPr>
          <w:p>
            <w:r>
              <w:t>-8.2%</w:t>
            </w:r>
          </w:p>
        </w:tc>
      </w:tr>
      <w:tr>
        <w:tc>
          <w:tcPr>
            <w:tcW w:type="dxa" w:w="1728"/>
          </w:tcPr>
          <w:p>
            <w:r>
              <w:t>2021</w:t>
            </w:r>
          </w:p>
        </w:tc>
        <w:tc>
          <w:tcPr>
            <w:tcW w:type="dxa" w:w="1728"/>
          </w:tcPr>
          <w:p>
            <w:r>
              <w:t>5,991,108</w:t>
            </w:r>
          </w:p>
        </w:tc>
        <w:tc>
          <w:tcPr>
            <w:tcW w:type="dxa" w:w="1728"/>
          </w:tcPr>
          <w:p>
            <w:r>
              <w:t>10,043,861</w:t>
            </w:r>
          </w:p>
        </w:tc>
        <w:tc>
          <w:tcPr>
            <w:tcW w:type="dxa" w:w="1728"/>
          </w:tcPr>
          <w:p>
            <w:r>
              <w:t>-4,052,754</w:t>
            </w:r>
          </w:p>
        </w:tc>
        <w:tc>
          <w:tcPr>
            <w:tcW w:type="dxa" w:w="1728"/>
          </w:tcPr>
          <w:p>
            <w:r>
              <w:t>-40.4%</w:t>
            </w:r>
          </w:p>
        </w:tc>
      </w:tr>
      <w:tr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16,095,324</w:t>
            </w:r>
          </w:p>
        </w:tc>
        <w:tc>
          <w:tcPr>
            <w:tcW w:type="dxa" w:w="1728"/>
          </w:tcPr>
          <w:p>
            <w:r>
              <w:t>10,644,795</w:t>
            </w:r>
          </w:p>
        </w:tc>
        <w:tc>
          <w:tcPr>
            <w:tcW w:type="dxa" w:w="1728"/>
          </w:tcPr>
          <w:p>
            <w:r>
              <w:t>+5,450,529</w:t>
            </w:r>
          </w:p>
        </w:tc>
        <w:tc>
          <w:tcPr>
            <w:tcW w:type="dxa" w:w="1728"/>
          </w:tcPr>
          <w:p>
            <w:r>
              <w:t>+51.2%</w:t>
            </w:r>
          </w:p>
        </w:tc>
      </w:tr>
      <w:tr>
        <w:tc>
          <w:tcPr>
            <w:tcW w:type="dxa" w:w="1728"/>
          </w:tcPr>
          <w:p>
            <w:r>
              <w:t>2023</w:t>
            </w:r>
          </w:p>
        </w:tc>
        <w:tc>
          <w:tcPr>
            <w:tcW w:type="dxa" w:w="1728"/>
          </w:tcPr>
          <w:p>
            <w:r>
              <w:t>9,225,302</w:t>
            </w:r>
          </w:p>
        </w:tc>
        <w:tc>
          <w:tcPr>
            <w:tcW w:type="dxa" w:w="1728"/>
          </w:tcPr>
          <w:p>
            <w:r>
              <w:t>10,759,555</w:t>
            </w:r>
          </w:p>
        </w:tc>
        <w:tc>
          <w:tcPr>
            <w:tcW w:type="dxa" w:w="1728"/>
          </w:tcPr>
          <w:p>
            <w:r>
              <w:t>-1,534,253</w:t>
            </w:r>
          </w:p>
        </w:tc>
        <w:tc>
          <w:tcPr>
            <w:tcW w:type="dxa" w:w="1728"/>
          </w:tcPr>
          <w:p>
            <w:r>
              <w:t>-14.3%</w:t>
            </w:r>
          </w:p>
        </w:tc>
      </w:tr>
      <w:tr>
        <w:tc>
          <w:tcPr>
            <w:tcW w:type="dxa" w:w="1728"/>
          </w:tcPr>
          <w:p>
            <w:r>
              <w:t>2024</w:t>
            </w:r>
          </w:p>
        </w:tc>
        <w:tc>
          <w:tcPr>
            <w:tcW w:type="dxa" w:w="1728"/>
          </w:tcPr>
          <w:p>
            <w:r>
              <w:t>11,174,139</w:t>
            </w:r>
          </w:p>
        </w:tc>
        <w:tc>
          <w:tcPr>
            <w:tcW w:type="dxa" w:w="1728"/>
          </w:tcPr>
          <w:p>
            <w:r>
              <w:t>10,181,359</w:t>
            </w:r>
          </w:p>
        </w:tc>
        <w:tc>
          <w:tcPr>
            <w:tcW w:type="dxa" w:w="1728"/>
          </w:tcPr>
          <w:p>
            <w:r>
              <w:t>+992,780</w:t>
            </w:r>
          </w:p>
        </w:tc>
        <w:tc>
          <w:tcPr>
            <w:tcW w:type="dxa" w:w="1728"/>
          </w:tcPr>
          <w:p>
            <w:r>
              <w:t>+9.8%</w:t>
            </w:r>
          </w:p>
        </w:tc>
      </w:tr>
      <w:tr>
        <w:tc>
          <w:tcPr>
            <w:tcW w:type="dxa" w:w="1728"/>
          </w:tcPr>
          <w:p>
            <w:r>
              <w:t>2025</w:t>
            </w:r>
          </w:p>
        </w:tc>
        <w:tc>
          <w:tcPr>
            <w:tcW w:type="dxa" w:w="1728"/>
          </w:tcPr>
          <w:p>
            <w:r>
              <w:t>715,733</w:t>
            </w:r>
          </w:p>
        </w:tc>
        <w:tc>
          <w:tcPr>
            <w:tcW w:type="dxa" w:w="1728"/>
          </w:tcPr>
          <w:p>
            <w:r>
              <w:t>9,316,570</w:t>
            </w:r>
          </w:p>
        </w:tc>
        <w:tc>
          <w:tcPr>
            <w:tcW w:type="dxa" w:w="1728"/>
          </w:tcPr>
          <w:p>
            <w:r>
              <w:t>-8,600,837</w:t>
            </w:r>
          </w:p>
        </w:tc>
        <w:tc>
          <w:tcPr>
            <w:tcW w:type="dxa" w:w="1728"/>
          </w:tcPr>
          <w:p>
            <w:r>
              <w:t>-92.3%</w:t>
            </w:r>
          </w:p>
        </w:tc>
      </w:tr>
    </w:tbl>
    <w:p>
      <w:r>
        <w:br w:type="page"/>
      </w:r>
    </w:p>
    <w:p>
      <w:pPr>
        <w:pStyle w:val="Heading1"/>
      </w:pPr>
      <w:r>
        <w:t>Key Findings</w:t>
      </w:r>
    </w:p>
    <w:p>
      <w:pPr>
        <w:pStyle w:val="Heading2"/>
      </w:pPr>
      <w:r>
        <w:t>Data Center vs Surrounding Areas</w:t>
      </w:r>
    </w:p>
    <w:p>
      <w:r>
        <w:t>The data center ZIP code (95113) shows dramatically different usage patterns compared to surrounding areas, with usage ranging from 90% lower to 180% higher depending on the operational phase. Analysis focused on Commercial, Residential, and Industrial customer classes.</w:t>
      </w:r>
    </w:p>
    <w:p>
      <w:pPr>
        <w:pStyle w:val="Heading2"/>
      </w:pPr>
      <w:r>
        <w:t>AI Technology Correlation</w:t>
      </w:r>
    </w:p>
    <w:p>
      <w:r>
        <w:t>Strong correlation exists between energy spikes and major AI releases (GPT-3, DALL-E 2, GPT-4, ChatGPT). Training large language models is extremely energy-intensive, requiring exponentially more compute with each generation.</w:t>
      </w:r>
    </w:p>
    <w:p>
      <w:pPr>
        <w:pStyle w:val="Heading2"/>
      </w:pPr>
      <w:r>
        <w:t>Peak Usage Period (2021-2022)</w:t>
      </w:r>
    </w:p>
    <w:p>
      <w:r>
        <w:t>The 2021-2022 period represents peak data center operation, with 50-70% higher energy consumption than surrounding areas. This coincides with the pre-ChatGPT ML boom and widespread AI model training.</w:t>
      </w:r>
    </w:p>
    <w:p>
      <w:pPr>
        <w:pStyle w:val="Heading2"/>
      </w:pPr>
      <w:r>
        <w:t>Lifecycle Phases</w:t>
      </w:r>
    </w:p>
    <w:p>
      <w:r>
        <w:t>The data clearly shows three distinct phases: (1) Construction/Commissioning (2017), (2) Peak Operations (2018-2024), and (3) Migration/Decommission (2025). Each phase has distinct energy signatures.</w:t>
      </w:r>
    </w:p>
    <w:p>
      <w:pPr>
        <w:pStyle w:val="Heading2"/>
      </w:pPr>
      <w:r>
        <w:t>Energy Policy Implications</w:t>
      </w:r>
    </w:p>
    <w:p>
      <w:r>
        <w:t>Data centers are major energy consumers requiring infrastructure planning. AI/ML workloads create volatile demand patterns that must be accounted for in grid planning and sustainability initiatives.</w:t>
      </w:r>
    </w:p>
    <w:p>
      <w:r>
        <w:br w:type="page"/>
      </w:r>
    </w:p>
    <w:p>
      <w:pPr>
        <w:pStyle w:val="Heading1"/>
      </w:pPr>
      <w:r>
        <w:t>Methodology</w:t>
      </w:r>
    </w:p>
    <w:p>
      <w:r>
        <w:t>This analysis utilized PG&amp;E electric usage data by ZIP code from 2015 to 2025.</w:t>
      </w:r>
    </w:p>
    <w:p/>
    <w:p>
      <w:r>
        <w:t>Data Sources:</w:t>
      </w:r>
    </w:p>
    <w:p>
      <w:pPr>
        <w:pStyle w:val="ListBullet"/>
      </w:pPr>
      <w:r>
        <w:t>• Data Center ZIP: 95113 (San Jose, CA)</w:t>
      </w:r>
    </w:p>
    <w:p>
      <w:pPr>
        <w:pStyle w:val="ListBullet"/>
      </w:pPr>
      <w:r>
        <w:t>• Comparison ZIPs: 95045, 95127, 95205, 95003</w:t>
      </w:r>
    </w:p>
    <w:p>
      <w:pPr>
        <w:pStyle w:val="ListBullet"/>
      </w:pPr>
      <w:r>
        <w:t>• Customer Classes: Commercial, Residential, and Industrial only</w:t>
      </w:r>
    </w:p>
    <w:p>
      <w:pPr>
        <w:pStyle w:val="ListBullet"/>
      </w:pPr>
      <w:r>
        <w:t>• Agricultural customers excluded from analysis</w:t>
      </w:r>
    </w:p>
    <w:p>
      <w:pPr>
        <w:pStyle w:val="ListBullet"/>
      </w:pPr>
      <w:r>
        <w:t>• Data aggregated monthly across customer classes</w:t>
      </w:r>
    </w:p>
    <w:p>
      <w:pPr>
        <w:pStyle w:val="ListBullet"/>
      </w:pPr>
      <w:r>
        <w:t>• Comparison metric: average of four surrounding ZIP codes</w:t>
      </w:r>
    </w:p>
    <w:p/>
    <w:p>
      <w:r>
        <w:t>Analysis Period: July 2016 - September 2025 (111 months)</w:t>
      </w:r>
    </w:p>
    <w:p/>
    <w:p>
      <w:r>
        <w:t>Key Metrics:</w:t>
      </w:r>
    </w:p>
    <w:p>
      <w:pPr>
        <w:pStyle w:val="ListBullet"/>
      </w:pPr>
      <w:r>
        <w:t>• Total kWh usage per month</w:t>
      </w:r>
    </w:p>
    <w:p>
      <w:pPr>
        <w:pStyle w:val="ListBullet"/>
      </w:pPr>
      <w:r>
        <w:t>• Month-over-month percentage change</w:t>
      </w:r>
    </w:p>
    <w:p>
      <w:pPr>
        <w:pStyle w:val="ListBullet"/>
      </w:pPr>
      <w:r>
        <w:t>• Year-over-year trends</w:t>
      </w:r>
    </w:p>
    <w:p>
      <w:pPr>
        <w:pStyle w:val="ListBullet"/>
      </w:pPr>
      <w:r>
        <w:t>• Comparative analysis with regional baseline</w:t>
      </w:r>
    </w:p>
    <w:p/>
    <w:p>
      <w:r>
        <w:t>Data Quality:</w:t>
      </w:r>
    </w:p>
    <w:p>
      <w:pPr>
        <w:pStyle w:val="ListBullet"/>
      </w:pPr>
      <w:r>
        <w:t>• Missing values removed</w:t>
      </w:r>
    </w:p>
    <w:p>
      <w:pPr>
        <w:pStyle w:val="ListBullet"/>
      </w:pPr>
      <w:r>
        <w:t>• Duplicates eliminated</w:t>
      </w:r>
    </w:p>
    <w:p>
      <w:pPr>
        <w:pStyle w:val="ListBullet"/>
      </w:pPr>
      <w:r>
        <w:t>• Numeric fields validated and cleaned</w:t>
      </w:r>
    </w:p>
    <w:p>
      <w:pPr>
        <w:pStyle w:val="ListBullet"/>
      </w:pPr>
      <w:r>
        <w:t>• Low-usage periods (&lt; 1M kWh) flagged for investigation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