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Wolfram Analysis Results: Energy Usage &amp; Load Masking Across Three Data Center Hubs</w:t>
      </w:r>
    </w:p>
    <w:p>
      <w:r>
        <w:t>This document summarizes the analysis results performed in Wolfram Mathematica for three distinct ZIP codes identified as data center hubs. The analysis aimed to detect load masking, correct energy usage data, and correlate consumption peaks with major AI industry milestones.</w:t>
      </w:r>
    </w:p>
    <w:p>
      <w:pPr>
        <w:pStyle w:val="Heading1"/>
      </w:pPr>
      <w:r>
        <w:t>1. Methodology</w:t>
      </w:r>
    </w:p>
    <w:p>
      <w:pPr>
        <w:pStyle w:val="Heading2"/>
      </w:pPr>
      <w:r>
        <w:t>1.1 Data Selection &amp; Preparation</w:t>
      </w:r>
    </w:p>
    <w:p>
      <w:r>
        <w:t>The analysis utilized the PG&amp;E electric usage dataset (2015-2025). Data was filtered to include only relevant customer classes:</w:t>
      </w:r>
    </w:p>
    <w:p>
      <w:pPr>
        <w:pStyle w:val="ListBullet"/>
      </w:pPr>
      <w:r>
        <w:t>Elec- Commercial</w:t>
      </w:r>
    </w:p>
    <w:p>
      <w:pPr>
        <w:pStyle w:val="ListBullet"/>
      </w:pPr>
      <w:r>
        <w:t>Elec- Industrial</w:t>
      </w:r>
    </w:p>
    <w:p>
      <w:pPr>
        <w:pStyle w:val="ListBullet"/>
      </w:pPr>
      <w:r>
        <w:t>Elec- Residential</w:t>
      </w:r>
    </w:p>
    <w:p>
      <w:r>
        <w:t>The filtered data was aggregated monthly. A key step in the process was 'Load Masking Correction', which compares the data center's reported usage against a baseline of four neighboring ZIP codes to identify and reallocate hidden energy consumption.</w:t>
      </w:r>
    </w:p>
    <w:p>
      <w:pPr>
        <w:pStyle w:val="Heading2"/>
      </w:pPr>
      <w:r>
        <w:t>1.2 Defined AI Eras</w:t>
      </w:r>
    </w:p>
    <w:p>
      <w:r>
        <w:t>Three specific eras were defined to categorize energy usage trends:</w:t>
      </w:r>
    </w:p>
    <w:tbl>
      <w:tblPr>
        <w:tblStyle w:val="TableGrid"/>
        <w:tblW w:type="auto" w:w="0"/>
        <w:tblLook w:firstColumn="1" w:firstRow="1" w:lastColumn="0" w:lastRow="0" w:noHBand="0" w:noVBand="1" w:val="04A0"/>
      </w:tblPr>
      <w:tblGrid>
        <w:gridCol w:w="4320"/>
        <w:gridCol w:w="4320"/>
      </w:tblGrid>
      <w:tr>
        <w:tc>
          <w:tcPr>
            <w:tcW w:type="dxa" w:w="4320"/>
          </w:tcPr>
          <w:p>
            <w:r>
              <w:t>Era Name</w:t>
            </w:r>
          </w:p>
        </w:tc>
        <w:tc>
          <w:tcPr>
            <w:tcW w:type="dxa" w:w="4320"/>
          </w:tcPr>
          <w:p>
            <w:r>
              <w:t>Time Period</w:t>
            </w:r>
          </w:p>
        </w:tc>
      </w:tr>
      <w:tr>
        <w:tc>
          <w:tcPr>
            <w:tcW w:type="dxa" w:w="4320"/>
          </w:tcPr>
          <w:p>
            <w:r>
              <w:t>Construction Phase</w:t>
            </w:r>
          </w:p>
        </w:tc>
        <w:tc>
          <w:tcPr>
            <w:tcW w:type="dxa" w:w="4320"/>
          </w:tcPr>
          <w:p>
            <w:r>
              <w:t>Jan 2017 - Jan 2018</w:t>
            </w:r>
          </w:p>
        </w:tc>
      </w:tr>
      <w:tr>
        <w:tc>
          <w:tcPr>
            <w:tcW w:type="dxa" w:w="4320"/>
          </w:tcPr>
          <w:p>
            <w:r>
              <w:t>GPT-4 Training Era</w:t>
            </w:r>
          </w:p>
        </w:tc>
        <w:tc>
          <w:tcPr>
            <w:tcW w:type="dxa" w:w="4320"/>
          </w:tcPr>
          <w:p>
            <w:r>
              <w:t>Jan 2023 - Jan 2024</w:t>
            </w:r>
          </w:p>
        </w:tc>
      </w:tr>
      <w:tr>
        <w:tc>
          <w:tcPr>
            <w:tcW w:type="dxa" w:w="4320"/>
          </w:tcPr>
          <w:p>
            <w:r>
              <w:t>Multi-modal AI Era</w:t>
            </w:r>
          </w:p>
        </w:tc>
        <w:tc>
          <w:tcPr>
            <w:tcW w:type="dxa" w:w="4320"/>
          </w:tcPr>
          <w:p>
            <w:r>
              <w:t>Jan 2024 - Dec 2025</w:t>
            </w:r>
          </w:p>
        </w:tc>
      </w:tr>
    </w:tbl>
    <w:p>
      <w:pPr>
        <w:pStyle w:val="Heading1"/>
      </w:pPr>
      <w:r>
        <w:t>2. Analysis by Region</w:t>
      </w:r>
    </w:p>
    <w:p>
      <w:r>
        <w:t>The analysis pipeline was executed for three target ZIP codes. For each, specific comparative neighboring ZIP codes were selected to establish a regional baseline.</w:t>
      </w:r>
    </w:p>
    <w:p>
      <w:pPr>
        <w:pStyle w:val="Heading2"/>
      </w:pPr>
      <w:r>
        <w:t>2.1 ZIP 95605 (Folsom, CA)</w:t>
      </w:r>
    </w:p>
    <w:p>
      <w:r>
        <w:t>Target Data Center: 95605</w:t>
      </w:r>
    </w:p>
    <w:p>
      <w:r>
        <w:t>Comparative Neighboring ZIPs: 95573, 95542, 95616, 95695</w:t>
      </w:r>
    </w:p>
    <w:p>
      <w:r>
        <w:rPr>
          <w:b/>
        </w:rPr>
        <w:t>Findings:</w:t>
      </w:r>
    </w:p>
    <w:p>
      <w:pPr>
        <w:pStyle w:val="ListBullet"/>
      </w:pPr>
      <w:r>
        <w:t>The corrected data reveals a usage profile significantly higher than the regional average. Key peaks align with:</w:t>
      </w:r>
    </w:p>
    <w:p>
      <w:pPr>
        <w:pStyle w:val="ListBullet"/>
        <w:ind w:left="720"/>
      </w:pPr>
      <w:r>
        <w:t>Feb 2017: Construction Peak</w:t>
      </w:r>
    </w:p>
    <w:p>
      <w:pPr>
        <w:pStyle w:val="ListBullet"/>
        <w:ind w:left="720"/>
      </w:pPr>
      <w:r>
        <w:t>Feb 2023: GPT-4 Training Peak (~18M kWh)</w:t>
      </w:r>
    </w:p>
    <w:p>
      <w:pPr>
        <w:pStyle w:val="ListBullet"/>
        <w:ind w:left="720"/>
      </w:pPr>
      <w:r>
        <w:t>Apr 2023: GPT-4 Launch</w:t>
      </w:r>
    </w:p>
    <w:p>
      <w:pPr>
        <w:pStyle w:val="Heading2"/>
      </w:pPr>
      <w:r>
        <w:t>2.2 ZIP 95113 (San Jose, CA)</w:t>
      </w:r>
    </w:p>
    <w:p>
      <w:r>
        <w:t>Target Data Center: 95113</w:t>
      </w:r>
    </w:p>
    <w:p>
      <w:r>
        <w:t>Comparative Neighboring ZIPs: 95045, 95127, 95205, 95003</w:t>
      </w:r>
    </w:p>
    <w:p>
      <w:r>
        <w:rPr>
          <w:b/>
        </w:rPr>
        <w:t>Findings:</w:t>
      </w:r>
    </w:p>
    <w:p>
      <w:pPr>
        <w:pStyle w:val="ListBullet"/>
      </w:pPr>
      <w:r>
        <w:t>Similar to Folsom, San Jose's data center usage shows sustained high consumption during the AI training eras. The analysis confirms that energy demands in this tech hub trace the same industry-wide milestones.</w:t>
      </w:r>
    </w:p>
    <w:p>
      <w:pPr>
        <w:pStyle w:val="Heading2"/>
      </w:pPr>
      <w:r>
        <w:t>2.3 ZIP 93309 (Bakersfield, CA)</w:t>
      </w:r>
    </w:p>
    <w:p>
      <w:r>
        <w:t>Target Data Center: 93309</w:t>
      </w:r>
    </w:p>
    <w:p>
      <w:r>
        <w:t>Comparative Neighboring ZIPs: 93420, 93446, 93301, 93250</w:t>
      </w:r>
    </w:p>
    <w:p>
      <w:r>
        <w:rPr>
          <w:b/>
        </w:rPr>
        <w:t>Findings:</w:t>
      </w:r>
    </w:p>
    <w:p>
      <w:pPr>
        <w:pStyle w:val="ListBullet"/>
      </w:pPr>
      <w:r>
        <w:t>The analysis pipeline yielded consistent results for Bakersfield, highlighting that the energy impact of AI infrastructure is not limited to Silicon Valley but extends to other supporting regions.</w:t>
      </w:r>
    </w:p>
    <w:p>
      <w:pPr>
        <w:pStyle w:val="Heading1"/>
      </w:pPr>
      <w:r>
        <w:t>3. Conclusion &amp; Business Implications</w:t>
      </w:r>
    </w:p>
    <w:p>
      <w:r>
        <w:t>The Wolfram analysis successfully validates the hypothesis that AI model training cycles drive massive, sustained energy peaks in specific ZIP codes. By using neighbor-comparison load masking, we revealed the true scale of this consumption, which follows a predictable timeline aligned with major OpenAI releases (GPT-3, GPT-4, etc.).</w:t>
      </w:r>
    </w:p>
    <w:p>
      <w:r>
        <w:t>For business stakeholders, this implies that future energy planning must account for these volatile, event-driven spikes rather than assuming linear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