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锂离子蓄电池对华进口依赖与供应风险分析报告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商品：锂离子蓄电池 / Lithium-ion accumulators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850760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3.81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4.08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93.2%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年，印度进口“锂离子蓄电池”中来自中国的金额占比为 93.2%，按本报告阈值属于高度集中。该判断严格限定于 HS 2022 六位商品编码 850760，不外推至父级税目、具体企业或受控技术参数。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蓄电池是样本中对华来源占比最高的商品。越南具备最强的第三国路径上限证据，香港、印度尼西亚、日本、马来西亚和韩国为次级节点，但必须区分电芯、模组与 PACK 的实质加工。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850760：锂离子蓄电池，不包含铅酸蓄电池及其他化学体系。</w:t>
      </w:r>
    </w:p>
    <w:p>
      <w:r>
        <w:t>网页矩阵和本报告均优先使用真实可复核编码。当前国际比较口径为 HS6 国际可比口径 850760；如公开来源只能稳定提供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43.13 亿美元，全球进口 49.47 亿美元，对华来源占比 87.2%。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OEC 显示越南 2024 年对印度出口电池约 1.25 亿美元，同时自中国进口电池约 49.4 亿美元。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Volza 可见样本中，中国和越南对印 shipment 份额约为 44% 和 28%；印度自香港、印尼、日本的电池进口增量亦可观察。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850760 下共匹配 1 个真实 HS8 子项。2025 年中国出口至印度金额为 3.76 十亿美元；2026 年已导出月份合计为 2.84 十亿美元。2025—2026 已导出月份中，月度峰值出现在 202512，金额为 586.45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85076000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锂离子蓄电池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3.76 十亿美元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电池跨国贸易经常包含电芯生产、模组集成和 PACK 组装。第三国出口额只能作为中国成分暴露的上限，不等同于转口额。</w:t>
      </w:r>
    </w:p>
    <w:p>
      <w:r>
        <w:t>对 HS 850760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87.2% 的对华来源占比意味着短期替代弹性有限，尤其在锂离子电芯、BMS 和关键材料层面可能高于 HS4 表面值。</w:t>
      </w:r>
    </w:p>
    <w:p>
      <w:r>
        <w:t>越南具备规模和产业能力的双重信号，较香港等纯贸易节点更可能发生实质加工。合规判断应审查 BOM、工序、增值比例和原产地证书。</w:t>
      </w:r>
    </w:p>
    <w:p>
      <w:r>
        <w:t>锂离子蓄电池的对华来源占比已达到高度集中水平。对进口商而言，风险不只体现为单一年度金额占比，还体现为认证替换、规格兼容、交付周期、价格谈判和售后技术支持的复合约束。如果企业业务数据继续显示关键型号、核心零部件或上游材料集中在中国供应商，则全国贸易占比可能低估实际运营依赖。</w:t>
      </w:r>
    </w:p>
    <w:p>
      <w:r>
        <w:t>替代供应方面，2025 年除中国外的主要来源包括：日本、印度尼西亚、韩国、越南、德国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850760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蓄电池应被列为最高优先级供应安全品类。越南是首要路径节点，但现有证据不足以认定大规模非法转口；企业应按电芯—模组—PACK 三层拆分来源。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电芯、模组、PACK 的 HS8 与料号映射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越南工厂工序与区域增值比例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香港、印尼、日本等次级来源的月度异常增量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API，报告国印度（reporterCode=699），贸易伙伴中国/世界（partnerCode=156/0），flowCode=M，cmdCode=850760，period=2025；访问日期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API，报告国印度（reporterCode=699），贸易伙伴中国/世界（partnerCode=156/0），flowCode=M，cmdCode=850760，period=2025；访问日期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API，报告国印度（reporterCode=699），贸易伙伴中国/世界（partnerCode=156/0），flowCode=M，cmdCode=850760，period=2025；访问日期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OEC 2024 电池双边贸易结构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Volza HS 8507 对印 shipment 开放摘要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850760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研究报告第 6—7 页：HS 8507 路径证据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OEC 2024 电池双边贸易结构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Volza HS 8507 对印 shipment 开放摘要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API，报告国印度（reporterCode=699），贸易伙伴中国/世界（partnerCode=156/0），flowCode=M，cmdCode=850760，period=2025；访问日期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850760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锂离子蓄电池对华进口依赖与供应风险分析报告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