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粉末或鳞片状天然石墨对华进口依赖与供应风险分析报告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商品：粉末或鳞片状天然石墨 / Natural graphite in powder or flakes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250410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39.7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9.3%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年，印度进口“粉末或鳞片状天然石墨”中来自中国的金额占比为 9.3%，按本报告阈值属于较低。该判断严格限定于 HS 2022 六位商品编码 250410，不外推至父级税目、具体企业或受控技术参数。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天然石墨对华直接进口金额与占比均不高，但公开资料在“出口是否停止”上存在口径冲突；核心问题是 HS4、HS8 与受控参数是否一致，而不是已证实的绕路补货。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250410：粉末或鳞片状天然石墨；是否受控仍取决于纯度、粒径、形态、密度和用途。</w:t>
      </w:r>
    </w:p>
    <w:p>
      <w:r>
        <w:t>网页矩阵和本报告均优先使用真实可复核编码。当前国际比较口径为 HS6 国际可比口径 250410；如公开来源只能稳定提供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年印度自中国进口约 378 万美元，全球进口约 4110 万美元，对华来源占比 9.2%。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基于 UN Comtrade 的公开页面显示，2024 年印度自中国进口约 448 万美元，2025 年约 378 万美元。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另有研究摘要称管制后相关出口停止，可能仅覆盖天然鳞片石墨或特定参数物项，与 HS 2504 全口径不一致。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在中国海关出口镜像中，HS6 250410 下共匹配 1 个真实 HS8 子项。2025 年中国出口至印度金额为 1.34 百万美元；2026 年已导出月份合计为 577,040 美元。2025—2026 已导出月份中，月度峰值出现在 202501，金额为 294,088 美元。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300"/>
        <w:gridCol w:w="4260"/>
        <w:gridCol w:w="1700"/>
        <w:gridCol w:w="2100"/>
      </w:tblGrid>
      <w:tr>
        <w:trPr>
          <w:tblHeader w:val="true"/>
        </w:trPr>
        <w:tc>
          <w:tcPr>
            <w:tcW w:type="dxa" w:w="1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HS8</w:t>
            </w:r>
          </w:p>
        </w:tc>
        <w:tc>
          <w:tcPr>
            <w:tcW w:type="dxa" w:w="426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商品名称</w:t>
            </w:r>
          </w:p>
        </w:tc>
        <w:tc>
          <w:tcPr>
            <w:tcW w:type="dxa" w:w="17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2025出口额</w:t>
            </w:r>
          </w:p>
        </w:tc>
        <w:tc>
          <w:tcPr>
            <w:tcW w:type="dxa" w:w="21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主要贸易方式</w:t>
            </w:r>
          </w:p>
        </w:tc>
      </w:tr>
      <w:tr>
        <w:tc>
          <w:tcPr>
            <w:tcW w:type="dxa" w:w="13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25041099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其他粉末或粉片天然石墨</w:t>
            </w:r>
          </w:p>
        </w:tc>
        <w:tc>
          <w:tcPr>
            <w:tcW w:type="dxa" w:w="17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1.34 百万美元</w:t>
            </w:r>
          </w:p>
        </w:tc>
        <w:tc>
          <w:tcPr>
            <w:tcW w:type="dxa" w:w="210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一般贸易</w:t>
            </w:r>
          </w:p>
        </w:tc>
      </w:tr>
    </w:tbl>
    <w:p>
      <w:pPr>
        <w:spacing w:after="120"/>
      </w:pPr>
      <w:r>
        <w:rPr>
          <w:rFonts w:ascii="Microsoft YaHei" w:hAnsi="Microsoft YaHei" w:eastAsia="Microsoft YaHei"/>
          <w:b w:val="0"/>
          <w:color w:val="666666"/>
          <w:sz w:val="18"/>
        </w:rPr>
        <w:t>表注：如某 HS6 下超过 10 个 HS8，表中列示金额靠前的主要子项；完整明细以网页交互卡片和原始 CSV 为准。</w:t>
      </w:r>
    </w:p>
    <w:p>
      <w:pPr>
        <w:pStyle w:val="Heading1"/>
      </w:pPr>
      <w:r>
        <w:t>五、第三国路径与判读边界</w:t>
      </w:r>
    </w:p>
    <w:p>
      <w:r>
        <w:t>报告未发现足以证明经第三国补货的公开序列。任何多国路径判断均需以 HS8、控制编码和企业发票为基础。</w:t>
      </w:r>
    </w:p>
    <w:p>
      <w:r>
        <w:t>对 HS 250410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金额较小不等于风险较低；受控范围取决于纯度、粒径、形态、密度和用途。</w:t>
      </w:r>
    </w:p>
    <w:p>
      <w:r>
        <w:t>互相冲突的公开数据提示：宽税号与受控物项并非同一分析对象，不能用一个口径替代另一个口径。</w:t>
      </w:r>
    </w:p>
    <w:p>
      <w:r>
        <w:t>粉末或鳞片状天然石墨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马达加斯加、坦桑尼亚、莫桑比克、德国、美国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250410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天然石墨应判定为“贸易依赖低、定义风险高、转口证据不足”。优先建立受控参数与印度进口子目的精确映射。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与控制编码对应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纯度、粒径、形态及最终用途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企业级发票、许可证与最终用户文件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API，报告国印度（reporterCode=699），贸易伙伴中国/世界（partnerCode=156/0），flowCode=M，cmdCode=250410，period=2025；访问日期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API，报告国印度（reporterCode=699），贸易伙伴中国/世界（partnerCode=156/0），flowCode=M，cmdCode=250410，period=2025；访问日期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API，报告国印度（reporterCode=699），贸易伙伴中国/世界（partnerCode=156/0），flowCode=M，cmdCode=250410，period=2025；访问日期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UN Comtrade 2024—2025 公开统计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中国两用物项出口管制目录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250410 下真实 HS8 明细，来源文件 数据导出.csv、数据导出 (1).csv，访问日期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研究报告第 9—10 页：HS 2504 分析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UN Comtrade 2024—2025 公开统计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中国两用物项出口管制目录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API，报告国印度（reporterCode=699），贸易伙伴中国/世界（partnerCode=156/0），flowCode=M，cmdCode=250410，period=2025；访问日期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海关总署统计网，中国出口至印度，贸易伙伴编码 111，HS6 250410 下真实 HS8 明细，来源文件 数据导出.csv、数据导出 (1).csv，访问日期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粉末或鳞片状天然石墨对华进口依赖与供应风险分析报告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