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44"/>
        </w:rPr>
        <w:t>非公路用自卸车对华进口依赖与供应风险分析报告</w:t>
      </w:r>
    </w:p>
    <w:p>
      <w:pPr>
        <w:spacing w:after="320"/>
      </w:pPr>
      <w:r>
        <w:rPr>
          <w:rFonts w:ascii="Microsoft YaHei" w:hAnsi="Microsoft YaHei" w:eastAsia="Microsoft YaHei"/>
          <w:b w:val="0"/>
          <w:color w:val="555555"/>
          <w:sz w:val="22"/>
        </w:rPr>
        <w:t>商品：非公路用自卸车 / Off-highway dump trucks · 快照 2026-07-24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7060"/>
      </w:tblGrid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真实统计编码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 870410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统计口径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自中国进口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22.2 百万美元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全球进口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57.2 百万美元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对华来源占比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38.8%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结论准确度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高概率：结论基于公开统计与审慎边界。</w:t>
            </w:r>
          </w:p>
        </w:tc>
      </w:tr>
    </w:tbl>
    <w:p/>
    <w:p>
      <w:pPr>
        <w:pStyle w:val="Heading1"/>
      </w:pPr>
      <w:r>
        <w:t>一、核心判断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2025 年，印度进口“非公路用自卸车”中来自中国的金额占比为 38.8%，按本报告阈值属于中等。该判断严格限定于 HS 2022 六位商品编码 870410，不外推至父级税目、具体企业或受控技术参数。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〔1〕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非公路用自卸车是工程车组合的金额主体。2025 年中国份额约 38.8%；2019—2024 年印度进口口径总体上升，但镜像差异很大。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〔2〕</w:t>
      </w:r>
    </w:p>
    <w:p>
      <w:r>
        <w:t>本报告的用途是为业务数据复核、供应链审计和出口管制策略研究提供公开来源底稿。因此，报告将“贸易统计能够证明的来源结构”和“仍需单证核验的路径推演”分开表述：前者用于判断依赖程度，后者只用于形成核验清单。</w:t>
      </w:r>
    </w:p>
    <w:p>
      <w:pPr>
        <w:pStyle w:val="Heading1"/>
      </w:pPr>
      <w:r>
        <w:t>二、商品边界与统计口径</w:t>
      </w:r>
    </w:p>
    <w:p>
      <w:r>
        <w:t>HS 870410 为非公路用自卸车，主要包括矿山、采石场等封闭场景使用的整车；不包含一般道路货车和零部件。</w:t>
      </w:r>
    </w:p>
    <w:p>
      <w:r>
        <w:t>网页矩阵和本报告均优先使用真实可复核编码。当前国际比较口径为 HS6 国际可比口径 870410；如公开来源只能稳定提供 HS6，本报告即如实使用 HS6，不补零、不以父级税目金额替代具体物项。</w:t>
      </w:r>
    </w:p>
    <w:p>
      <w:pPr>
        <w:pStyle w:val="Heading1"/>
      </w:pPr>
      <w:r>
        <w:t>三、数据事实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2025 年印度自中国进口约 2218.51 万美元，全球进口约 5723.91 万美元，对华来源占比 38.8%。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〔3〕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报告所列印度进口口径中，中国份额由 2019 年 14.1% 上升至 2024 年 43.3%，中间年份波动明显；2021 年 9975 件的数量异常需单独核验。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〔4〕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2024 年印度自中国进口 1807.46 万美元，而中国出口镜像为 3978.38 万美元；统计方向差异超过一倍。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〔5〕</w:t>
      </w:r>
    </w:p>
    <w:p>
      <w:r>
        <w:t>上述金额均为现价美元口径。印度进口统计通常采用 CIF 进口口径；中国海关出口镜像采用中国出口统计口径。两类口径可以互相校验方向和异常，但不能直接相加或替代。</w:t>
      </w:r>
    </w:p>
    <w:p>
      <w:pPr>
        <w:pStyle w:val="Heading1"/>
      </w:pPr>
      <w:r>
        <w:t>四、中国海关 HS8 出口镜像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在中国海关出口镜像中，HS6 870410 下共匹配 2 个真实 HS8 子项。2025 年中国出口至印度金额为 29.95 百万美元；2026 年已导出月份合计为 23.03 百万美元。2025—2026 已导出月份中，月度峰值出现在 202602，金额为 8.51 百万美元。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〔6〕</w:t>
      </w:r>
    </w:p>
    <w:tbl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00"/>
        <w:gridCol w:w="4260"/>
        <w:gridCol w:w="1700"/>
        <w:gridCol w:w="2100"/>
      </w:tblGrid>
      <w:tr>
        <w:trPr>
          <w:tblHeader w:val="true"/>
        </w:trPr>
        <w:tc>
          <w:tcPr>
            <w:tcW w:type="dxa" w:w="1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HS8</w:t>
            </w:r>
          </w:p>
        </w:tc>
        <w:tc>
          <w:tcPr>
            <w:tcW w:type="dxa" w:w="42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商品名称</w:t>
            </w:r>
          </w:p>
        </w:tc>
        <w:tc>
          <w:tcPr>
            <w:tcW w:type="dxa" w:w="17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2025出口额</w:t>
            </w:r>
          </w:p>
        </w:tc>
        <w:tc>
          <w:tcPr>
            <w:tcW w:type="dxa" w:w="21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主要贸易方式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87041090</w:t>
            </w:r>
          </w:p>
        </w:tc>
        <w:tc>
          <w:tcPr>
            <w:tcW w:type="dxa" w:w="42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其他非公路用货运机动自卸车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29.95 百万美元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一般贸易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87041030</w:t>
            </w:r>
          </w:p>
        </w:tc>
        <w:tc>
          <w:tcPr>
            <w:tcW w:type="dxa" w:w="42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电动轮非公路用货运自卸车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 美元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一般贸易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color w:val="666666"/>
          <w:sz w:val="18"/>
        </w:rPr>
        <w:t>表注：如某 HS6 下超过 10 个 HS8，表中列示金额靠前的主要子项；完整明细以网页交互卡片和原始 CSV 为准。</w:t>
      </w:r>
    </w:p>
    <w:p>
      <w:pPr>
        <w:pStyle w:val="Heading1"/>
      </w:pPr>
      <w:r>
        <w:t>五、第三国路径与判读边界</w:t>
      </w:r>
    </w:p>
    <w:p>
      <w:r>
        <w:t>贸易规模重叠不等于同一车辆转口；必须通过车架号、原产地证书、提单和印尼是否发生实质加工核验。</w:t>
      </w:r>
    </w:p>
    <w:p>
      <w:r>
        <w:t>对 HS 870410 而言，第三国路径至少需要同时满足四类证据：第一，中国至中转节点存在同口径商品出口；第二，中转节点至印度存在同口径商品出口或印度进口；第三，金额、月份、数量单位和商品描述具有可比性；第四，原产地证书、提单、发票、加工记录或公开查发案例能够解释同一货物或同一供应网络。</w:t>
      </w:r>
    </w:p>
    <w:p>
      <w:pPr>
        <w:pStyle w:val="Heading1"/>
      </w:pPr>
      <w:r>
        <w:t>六、分析</w:t>
      </w:r>
    </w:p>
    <w:p>
      <w:r>
        <w:t>2019—2024 的份额上升支持中国重要性增强，但年度订单和矿业项目会造成显著波动。</w:t>
      </w:r>
    </w:p>
    <w:p>
      <w:r>
        <w:t>印尼拥有矿业车辆需求和装配活动，既可能是终端市场，也可能是区域供货节点；公开统计无法区分。</w:t>
      </w:r>
    </w:p>
    <w:p>
      <w:r>
        <w:t>非公路用自卸车处于中等对华暴露区间。该区间的政策含义是：总体上并非完全依赖中国，但中国供应商可能在特定规格、价格带、交付节奏或售后环节形成局部优势。因此，应优先识别企业采购中是否存在若干关键料号高度集中，而不是简单按全国占比下结论。</w:t>
      </w:r>
    </w:p>
    <w:p>
      <w:r>
        <w:t>替代供应方面，2025 年除中国外的主要来源包括：瑞典、加拿大、泰国、芬兰、荷兰。这些来源国可以作为供应分散化的第一批观察对象，但其是否具备现实替代能力，仍需进一步比较产品等级、报价条款、交期、认证记录、历史交付稳定性和售后能力。对于工程设备、电子电力和医药化工类商品，还需要特别注意整机、零部件、材料和中间体之间的税号差异。</w:t>
      </w:r>
    </w:p>
    <w:p>
      <w:r>
        <w:t>从中国出口管制策略研究角度看，HS 870410 只能作为筛查入口，不能直接替代受控物项判定。真正需要落到三个层级：第一，税号与商品描述是否锁定到具体物项；第二，技术参数、性能指标、材料形态或最终用途是否触及管制清单；第三，交易链条中的最终用户、最终用途、发票国、装运国和原产国是否一致。因此，本报告将贸易金额用于识别优先级，将单证和技术参数留作后续核验重点。</w:t>
      </w:r>
    </w:p>
    <w:p>
      <w:pPr>
        <w:pStyle w:val="Heading1"/>
      </w:pPr>
      <w:r>
        <w:t>七、结论</w:t>
      </w:r>
    </w:p>
    <w:p>
      <w:r>
        <w:t>中国已是非公路用自卸车的重要来源，印尼是高优先级核验节点；是否存在中国原产车辆经印尼转口，仍未被公开证据证明。</w:t>
      </w:r>
    </w:p>
    <w:p>
      <w:r>
        <w:t>准确度标注：高概率。结论主要基于公开统计与审慎边界表述。</w:t>
      </w:r>
    </w:p>
    <w:p>
      <w:pPr>
        <w:pStyle w:val="Heading1"/>
      </w:pPr>
      <w:r>
        <w:t>八、后续监测重点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车架号、品牌与制造工厂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2021 年异常数量申报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印尼进口—再出口逐票对应</w:t>
      </w:r>
    </w:p>
    <w:p>
      <w:pPr>
        <w:pStyle w:val="Heading1"/>
      </w:pPr>
      <w:r>
        <w:t>脚注与数据来源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API，报告国印度（reporterCode=699），贸易伙伴中国/世界（partnerCode=156/0），flowCode=M，cmdCode=870410，period=2025；访问日期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〔2〕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API，报告国印度（reporterCode=699），贸易伙伴中国/世界（partnerCode=156/0），flowCode=M，cmdCode=870410，period=2025；访问日期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〔3〕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API，报告国印度（reporterCode=699），贸易伙伴中国/世界（partnerCode=156/0），flowCode=M，cmdCode=870410，period=2025；访问日期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〔4〕</w:t>
      </w:r>
      <w:r>
        <w:rPr>
          <w:rFonts w:ascii="Microsoft YaHei" w:hAnsi="Microsoft YaHei" w:eastAsia="Microsoft YaHei"/>
          <w:sz w:val="18"/>
        </w:rPr>
        <w:t>UN Comtrade 2025 HS 870410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〔5〕</w:t>
      </w:r>
      <w:r>
        <w:rPr>
          <w:rFonts w:ascii="Microsoft YaHei" w:hAnsi="Microsoft YaHei" w:eastAsia="Microsoft YaHei"/>
          <w:sz w:val="18"/>
        </w:rPr>
        <w:t>WITS 2024 中国—印尼—印度数据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〔6〕</w:t>
      </w:r>
      <w:r>
        <w:rPr>
          <w:rFonts w:ascii="Microsoft YaHei" w:hAnsi="Microsoft YaHei" w:eastAsia="Microsoft YaHei"/>
          <w:sz w:val="18"/>
        </w:rPr>
        <w:t>海关总署统计网，中国出口至印度，贸易伙伴编码 111，HS6 870410 下真实 HS8 明细，来源文件 数据导出.csv、数据导出 (1).csv、数据导出 (4).csv、数据导出 (5).csv，访问日期 2026-07-28。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〔7〕</w:t>
      </w:r>
      <w:r>
        <w:rPr>
          <w:rFonts w:ascii="Microsoft YaHei" w:hAnsi="Microsoft YaHei" w:eastAsia="Microsoft YaHei"/>
          <w:sz w:val="18"/>
        </w:rPr>
        <w:t>专题报告 HS 870410 年度表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〔8〕</w:t>
      </w:r>
      <w:r>
        <w:rPr>
          <w:rFonts w:ascii="Microsoft YaHei" w:hAnsi="Microsoft YaHei" w:eastAsia="Microsoft YaHei"/>
          <w:sz w:val="18"/>
        </w:rPr>
        <w:t>UN Comtrade 2025 HS 870410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〔9〕</w:t>
      </w:r>
      <w:r>
        <w:rPr>
          <w:rFonts w:ascii="Microsoft YaHei" w:hAnsi="Microsoft YaHei" w:eastAsia="Microsoft YaHei"/>
          <w:sz w:val="18"/>
        </w:rPr>
        <w:t>WITS 2024 中国—印尼—印度数据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〔10〕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API，报告国印度（reporterCode=699），贸易伙伴中国/世界（partnerCode=156/0），flowCode=M，cmdCode=870410，period=2025；访问日期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〔11〕</w:t>
      </w:r>
      <w:r>
        <w:rPr>
          <w:rFonts w:ascii="Microsoft YaHei" w:hAnsi="Microsoft YaHei" w:eastAsia="Microsoft YaHei"/>
          <w:sz w:val="18"/>
        </w:rPr>
        <w:t>印度 DGCI&amp;S TradeStat：月度贸易数据库与编码调整说明。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〔12〕</w:t>
      </w:r>
      <w:r>
        <w:rPr>
          <w:rFonts w:ascii="Microsoft YaHei" w:hAnsi="Microsoft YaHei" w:eastAsia="Microsoft YaHei"/>
          <w:sz w:val="18"/>
        </w:rPr>
        <w:t>中国商务部、海关总署及中国出口管制信息网：现行两用物项清单、公告与许可证管理目录。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〔13〕</w:t>
      </w:r>
      <w:r>
        <w:rPr>
          <w:rFonts w:ascii="Microsoft YaHei" w:hAnsi="Microsoft YaHei" w:eastAsia="Microsoft YaHei"/>
          <w:sz w:val="18"/>
        </w:rPr>
        <w:t>海关总署统计网，中国出口至印度，贸易伙伴编码 111，HS6 870410 下真实 HS8 明细，来源文件 数据导出.csv、数据导出 (1).csv、数据导出 (4).csv、数据导出 (5).csv，访问日期 2026-07-28。</w:t>
      </w:r>
    </w:p>
    <w:p>
      <w:r>
        <w:t>注：本报告用于公开来源研究和合规初筛，不构成法律意见或个案事实认定。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t>非公路用自卸车对华进口依赖与供应风险分析报告 · 2026-07-24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中国-印度供应链依赖图谱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