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中国-印度供应链依赖图谱总分析报告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重点商品矩阵、化肥专题、工程设备专题与报告下载索引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报告范围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重点商品矩阵及可交互子项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分类版本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 2022；按公开来源最细可核验层级显示真实 HS6/HS8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统计边界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仅汇总互不重叠的具体商品物项；不使用补零代理或父级大类重复金额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加权对华来源占比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34.7%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研究日期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2026-07-23</w:t>
            </w:r>
          </w:p>
        </w:tc>
      </w:tr>
    </w:tbl>
    <w:p/>
    <w:p>
      <w:pPr>
        <w:pStyle w:val="Heading1"/>
      </w:pPr>
      <w:r>
        <w:t>一、总览结论</w:t>
      </w:r>
    </w:p>
    <w:p>
      <w:r>
        <w:t>样本显示，印度对中国的进口来源依赖集中在蓄电池、含氮/含氧化工品、半导体器件、电力设备、工程机械零部件及部分工程车辆。8 位编码用于后续业务单证对齐，公开统计金额仍应按来源可复核层级阅读。</w:t>
      </w:r>
    </w:p>
    <w:p>
      <w:r>
        <w:t>第三国路径应作为筛查信号而非事实认定。报告中的多节点路径允许出现两至三个中转经济体，但只有在金额、时间、产品、原产地和物流单证闭合后，才能进入个案判断。</w:t>
      </w:r>
    </w:p>
    <w:p>
      <w:pPr>
        <w:pStyle w:val="Heading1"/>
      </w:pPr>
      <w:r>
        <w:t>二、重点商品表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具体商品</w:t>
            </w:r>
          </w:p>
        </w:tc>
        <w:tc>
          <w:tcPr>
            <w:tcW w:type="dxa" w:w="15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统计编码</w:t>
            </w:r>
          </w:p>
        </w:tc>
        <w:tc>
          <w:tcPr>
            <w:tcW w:type="dxa" w:w="15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15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从中国进口</w:t>
            </w:r>
          </w:p>
        </w:tc>
        <w:tc>
          <w:tcPr>
            <w:tcW w:type="dxa" w:w="15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商品进口总额</w:t>
            </w:r>
          </w:p>
        </w:tc>
        <w:tc>
          <w:tcPr>
            <w:tcW w:type="dxa" w:w="15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从中国进口占比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锂离子蓄电池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850760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3.81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4.08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93.2%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未组装光伏电池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854142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1.99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2.67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74.4%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汽车起重机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870510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0.4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0.6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66.0%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静止式变流器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850440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1.36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2.17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62.5%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高黏度聚对苯二甲酸乙二酯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390761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161.6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259.9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62.2%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其他稀土金属化合物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284690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2.7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6.1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44.2%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钻探或凿井机械零件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843143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125.9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296.3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42.5%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自推进采煤机、截岩机及隧道掘进机械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843031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40.6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102.9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39.4%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非公路用自卸车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870410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22.2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57.2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38.8%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其他离心泵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841370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77.5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223.7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34.6%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其他采煤机、截岩机及隧道掘进机械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843039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5.5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34.6%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金属加工机床专用零件及附件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846693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102.4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327.5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31.3%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处理器及控制器集成电路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854231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5.06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16.58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30.5%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其他龙头、旋塞及类似装置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848180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335.8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1.49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22.5%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尿素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310210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878.8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4.69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18.7%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混凝土搅拌车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870540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0.2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2.1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11.2%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机动车变速箱及其零件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870840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188.0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1.74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10.8%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粉末或鳞片状天然石墨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250410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3.7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39.7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9.3%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磷酸二铵（DAP）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310530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450.0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4.91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9.2%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含氮磷钾三种肥效元素的肥料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310520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9.1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1.21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0.7%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氯化钾（MOP）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310420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1.25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0.0%</w:t>
            </w:r>
          </w:p>
        </w:tc>
      </w:tr>
    </w:tbl>
    <w:p>
      <w:pPr>
        <w:pStyle w:val="Heading1"/>
      </w:pPr>
      <w:r>
        <w:t>三、化肥专题</w:t>
      </w:r>
    </w:p>
    <w:p>
      <w:r>
        <w:t>化肥应按总项和子项分开。HS31 总项用于观察整体暴露；尿素、DAP、MOP、NPK 分别对应不同采购周期、替代来源和政策敏感性，财年数量与自然年价值不可直接混算。</w:t>
      </w:r>
    </w:p>
    <w:p>
      <w:pPr>
        <w:pStyle w:val="Heading1"/>
      </w:pPr>
      <w:r>
        <w:t>四、工程设备专题</w:t>
      </w:r>
    </w:p>
    <w:p>
      <w:r>
        <w:t>盾构机、工程车和工程机械零部件均已进入重点商品矩阵。盾构机税号为筛查池，工程车按非公路用自卸车、汽车起重机和混凝土搅拌车拆分；镜像贸易差异是审计触发器，不是转口证明。</w:t>
      </w:r>
    </w:p>
    <w:p>
      <w:pPr>
        <w:pStyle w:val="Heading1"/>
      </w:pPr>
      <w:r>
        <w:t>五、方法与限制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依赖率 = 印度自中国进口额 ÷ 印度全球进口额。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8 位码用于业务数据验证；公开统计层级不足时，仍标注 HS31、HS4 或 HS6 合并口径。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结论准确度分为高概率、低概率、推测，表示公开证据强弱，不代表法律结论。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本报告不对违法转口、规避关税或规避出口管制作事实认定。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总分析报告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