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Microsoft YaHei" w:hAnsi="Microsoft YaHei" w:eastAsia="Microsoft YaHei"/>
          <w:b/>
          <w:color w:val="000000"/>
          <w:sz w:val="44"/>
        </w:rPr>
        <w:t>其他稀土金属化合物对华进口依赖与供应风险分析报告</w:t>
      </w:r>
    </w:p>
    <w:p>
      <w:pPr>
        <w:spacing w:after="320"/>
      </w:pPr>
      <w:r>
        <w:rPr>
          <w:rFonts w:ascii="Microsoft YaHei" w:hAnsi="Microsoft YaHei" w:eastAsia="Microsoft YaHei"/>
          <w:b w:val="0"/>
          <w:color w:val="555555"/>
          <w:sz w:val="22"/>
        </w:rPr>
        <w:t>商品：其他稀土金属化合物 / Other compounds of rare-earth metals · 快照 2026-07-24</w:t>
      </w:r>
    </w:p>
    <w:tbl>
      <w:tblPr>
        <w:tblStyle w:val="TableGrid"/>
        <w:jc w:val="left"/>
        <w:tblLook w:firstColumn="1" w:firstRow="1" w:lastColumn="0" w:lastRow="0" w:noHBand="0" w:noVBand="1" w:val="04A0"/>
        <w:tblW w:w="9360" w:type="dxa"/>
        <w:tblInd w:w="120" w:type="dxa"/>
        <w:tblLayout w:type="fixed"/>
        <w:tblCellMar>
          <w:top w:w="80" w:type="dxa"/>
          <w:start w:w="120" w:type="dxa"/>
          <w:bottom w:w="80" w:type="dxa"/>
          <w:end w:w="120" w:type="dxa"/>
        </w:tblCellMar>
      </w:tblPr>
      <w:tblGrid>
        <w:gridCol w:w="2300"/>
        <w:gridCol w:w="7060"/>
      </w:tblGrid>
      <w:tr>
        <w:tc>
          <w:tcPr>
            <w:tcW w:type="dxa" w:w="2300"/>
            <w:shd w:fill="F2F4F7"/>
            <w:vAlign w:val="center"/>
          </w:tcPr>
          <w:p>
            <w:pPr>
              <w:spacing w:after="0"/>
            </w:pPr>
            <w:r/>
            <w:r>
              <w:rPr>
                <w:rFonts w:ascii="Microsoft YaHei" w:hAnsi="Microsoft YaHei" w:eastAsia="Microsoft YaHei"/>
                <w:b/>
                <w:color w:val="1F4D78"/>
                <w:sz w:val="19"/>
              </w:rPr>
              <w:t>真实统计编码</w:t>
            </w:r>
          </w:p>
        </w:tc>
        <w:tc>
          <w:tcPr>
            <w:tcW w:type="dxa" w:w="7060"/>
            <w:vAlign w:val="center"/>
          </w:tcPr>
          <w:p>
            <w:pPr>
              <w:spacing w:after="0"/>
            </w:pPr>
            <w:r/>
            <w:r>
              <w:rPr>
                <w:rFonts w:ascii="Microsoft YaHei" w:hAnsi="Microsoft YaHei" w:eastAsia="Microsoft YaHei"/>
                <w:b w:val="0"/>
                <w:color w:val="000000"/>
                <w:sz w:val="19"/>
              </w:rPr>
              <w:t>HS6 国际可比口径 284690</w:t>
            </w:r>
          </w:p>
        </w:tc>
      </w:tr>
      <w:tr>
        <w:tc>
          <w:tcPr>
            <w:tcW w:type="dxa" w:w="2300"/>
            <w:shd w:fill="F2F4F7"/>
            <w:vAlign w:val="center"/>
          </w:tcPr>
          <w:p>
            <w:pPr>
              <w:spacing w:after="0"/>
            </w:pPr>
            <w:r/>
            <w:r>
              <w:rPr>
                <w:rFonts w:ascii="Microsoft YaHei" w:hAnsi="Microsoft YaHei" w:eastAsia="Microsoft YaHei"/>
                <w:b/>
                <w:color w:val="1F4D78"/>
                <w:sz w:val="19"/>
              </w:rPr>
              <w:t>统计口径</w:t>
            </w:r>
          </w:p>
        </w:tc>
        <w:tc>
          <w:tcPr>
            <w:tcW w:type="dxa" w:w="7060"/>
            <w:vAlign w:val="center"/>
          </w:tcPr>
          <w:p>
            <w:pPr>
              <w:spacing w:after="0"/>
            </w:pPr>
            <w:r/>
            <w:r>
              <w:rPr>
                <w:rFonts w:ascii="Microsoft YaHei" w:hAnsi="Microsoft YaHei" w:eastAsia="Microsoft YaHei"/>
                <w:b w:val="0"/>
                <w:color w:val="000000"/>
                <w:sz w:val="19"/>
              </w:rPr>
              <w:t>HS6 国际可比口径</w:t>
            </w:r>
          </w:p>
        </w:tc>
      </w:tr>
      <w:tr>
        <w:tc>
          <w:tcPr>
            <w:tcW w:type="dxa" w:w="2300"/>
            <w:shd w:fill="F2F4F7"/>
            <w:vAlign w:val="center"/>
          </w:tcPr>
          <w:p>
            <w:pPr>
              <w:spacing w:after="0"/>
            </w:pPr>
            <w:r/>
            <w:r>
              <w:rPr>
                <w:rFonts w:ascii="Microsoft YaHei" w:hAnsi="Microsoft YaHei" w:eastAsia="Microsoft YaHei"/>
                <w:b/>
                <w:color w:val="1F4D78"/>
                <w:sz w:val="19"/>
              </w:rPr>
              <w:t>2025 自中国进口</w:t>
            </w:r>
          </w:p>
        </w:tc>
        <w:tc>
          <w:tcPr>
            <w:tcW w:type="dxa" w:w="7060"/>
            <w:vAlign w:val="center"/>
          </w:tcPr>
          <w:p>
            <w:pPr>
              <w:spacing w:after="0"/>
            </w:pPr>
            <w:r/>
            <w:r>
              <w:rPr>
                <w:rFonts w:ascii="Microsoft YaHei" w:hAnsi="Microsoft YaHei" w:eastAsia="Microsoft YaHei"/>
                <w:b w:val="0"/>
                <w:color w:val="000000"/>
                <w:sz w:val="19"/>
              </w:rPr>
              <w:t>2.7 百万美元</w:t>
            </w:r>
          </w:p>
        </w:tc>
      </w:tr>
      <w:tr>
        <w:tc>
          <w:tcPr>
            <w:tcW w:type="dxa" w:w="2300"/>
            <w:shd w:fill="F2F4F7"/>
            <w:vAlign w:val="center"/>
          </w:tcPr>
          <w:p>
            <w:pPr>
              <w:spacing w:after="0"/>
            </w:pPr>
            <w:r/>
            <w:r>
              <w:rPr>
                <w:rFonts w:ascii="Microsoft YaHei" w:hAnsi="Microsoft YaHei" w:eastAsia="Microsoft YaHei"/>
                <w:b/>
                <w:color w:val="1F4D78"/>
                <w:sz w:val="19"/>
              </w:rPr>
              <w:t>2025 全球进口</w:t>
            </w:r>
          </w:p>
        </w:tc>
        <w:tc>
          <w:tcPr>
            <w:tcW w:type="dxa" w:w="7060"/>
            <w:vAlign w:val="center"/>
          </w:tcPr>
          <w:p>
            <w:pPr>
              <w:spacing w:after="0"/>
            </w:pPr>
            <w:r/>
            <w:r>
              <w:rPr>
                <w:rFonts w:ascii="Microsoft YaHei" w:hAnsi="Microsoft YaHei" w:eastAsia="Microsoft YaHei"/>
                <w:b w:val="0"/>
                <w:color w:val="000000"/>
                <w:sz w:val="19"/>
              </w:rPr>
              <w:t>6.1 百万美元</w:t>
            </w:r>
          </w:p>
        </w:tc>
      </w:tr>
      <w:tr>
        <w:tc>
          <w:tcPr>
            <w:tcW w:type="dxa" w:w="2300"/>
            <w:shd w:fill="F2F4F7"/>
            <w:vAlign w:val="center"/>
          </w:tcPr>
          <w:p>
            <w:pPr>
              <w:spacing w:after="0"/>
            </w:pPr>
            <w:r/>
            <w:r>
              <w:rPr>
                <w:rFonts w:ascii="Microsoft YaHei" w:hAnsi="Microsoft YaHei" w:eastAsia="Microsoft YaHei"/>
                <w:b/>
                <w:color w:val="1F4D78"/>
                <w:sz w:val="19"/>
              </w:rPr>
              <w:t>对华来源占比</w:t>
            </w:r>
          </w:p>
        </w:tc>
        <w:tc>
          <w:tcPr>
            <w:tcW w:type="dxa" w:w="7060"/>
            <w:vAlign w:val="center"/>
          </w:tcPr>
          <w:p>
            <w:pPr>
              <w:spacing w:after="0"/>
            </w:pPr>
            <w:r/>
            <w:r>
              <w:rPr>
                <w:rFonts w:ascii="Microsoft YaHei" w:hAnsi="Microsoft YaHei" w:eastAsia="Microsoft YaHei"/>
                <w:b w:val="0"/>
                <w:color w:val="000000"/>
                <w:sz w:val="19"/>
              </w:rPr>
              <w:t>44.2%</w:t>
            </w:r>
          </w:p>
        </w:tc>
      </w:tr>
      <w:tr>
        <w:tc>
          <w:tcPr>
            <w:tcW w:type="dxa" w:w="2300"/>
            <w:shd w:fill="F2F4F7"/>
            <w:vAlign w:val="center"/>
          </w:tcPr>
          <w:p>
            <w:pPr>
              <w:spacing w:after="0"/>
            </w:pPr>
            <w:r/>
            <w:r>
              <w:rPr>
                <w:rFonts w:ascii="Microsoft YaHei" w:hAnsi="Microsoft YaHei" w:eastAsia="Microsoft YaHei"/>
                <w:b/>
                <w:color w:val="1F4D78"/>
                <w:sz w:val="19"/>
              </w:rPr>
              <w:t>结论准确度</w:t>
            </w:r>
          </w:p>
        </w:tc>
        <w:tc>
          <w:tcPr>
            <w:tcW w:type="dxa" w:w="7060"/>
            <w:vAlign w:val="center"/>
          </w:tcPr>
          <w:p>
            <w:pPr>
              <w:spacing w:after="0"/>
            </w:pPr>
            <w:r/>
            <w:r>
              <w:rPr>
                <w:rFonts w:ascii="Microsoft YaHei" w:hAnsi="Microsoft YaHei" w:eastAsia="Microsoft YaHei"/>
                <w:b w:val="0"/>
                <w:color w:val="000000"/>
                <w:sz w:val="19"/>
              </w:rPr>
              <w:t>高概率：结论基于公开统计与审慎边界。</w:t>
            </w:r>
          </w:p>
        </w:tc>
      </w:tr>
    </w:tbl>
    <w:p/>
    <w:p>
      <w:pPr>
        <w:pStyle w:val="Heading1"/>
      </w:pPr>
      <w:r>
        <w:t>一、核心判断</w:t>
      </w:r>
    </w:p>
    <w:p>
      <w:pPr>
        <w:spacing w:after="120"/>
      </w:pPr>
      <w:r>
        <w:rPr>
          <w:rFonts w:ascii="Microsoft YaHei" w:hAnsi="Microsoft YaHei" w:eastAsia="Microsoft YaHei"/>
          <w:sz w:val="21"/>
        </w:rPr>
        <w:t>2025 年，印度进口“其他稀土金属化合物”中来自中国的金额占比为 44.2%，按本报告阈值属于中等。该判断严格限定于 HS 2022 六位商品编码 284690，不外推至父级税目、具体企业或受控技术参数。</w:t>
      </w:r>
      <w:r>
        <w:rPr>
          <w:rFonts w:ascii="Microsoft YaHei" w:hAnsi="Microsoft YaHei" w:eastAsia="Microsoft YaHei"/>
          <w:b w:val="0"/>
          <w:color w:val="1F4D78"/>
          <w:sz w:val="16"/>
          <w:vertAlign w:val="superscript"/>
        </w:rPr>
        <w:t>〔1〕</w:t>
      </w:r>
    </w:p>
    <w:p>
      <w:pPr>
        <w:spacing w:after="120"/>
      </w:pPr>
      <w:r>
        <w:rPr>
          <w:rFonts w:ascii="Microsoft YaHei" w:hAnsi="Microsoft YaHei" w:eastAsia="Microsoft YaHei"/>
          <w:sz w:val="21"/>
        </w:rPr>
        <w:t>本项展示的贸易编码为 HS 284690 稀土化合物，但新增证据主要来自印度官方和行业资料对稀土永磁体及中游加工环节的披露。应把“稀土化合物贸易额”和“稀土永磁体供应链依赖”分开阅读：前者用于观察化合物进口来源，后者用于判断印度制造业对中国稀土中游能力的脆弱性。</w:t>
      </w:r>
      <w:r>
        <w:rPr>
          <w:rFonts w:ascii="Microsoft YaHei" w:hAnsi="Microsoft YaHei" w:eastAsia="Microsoft YaHei"/>
          <w:b w:val="0"/>
          <w:color w:val="1F4D78"/>
          <w:sz w:val="16"/>
          <w:vertAlign w:val="superscript"/>
        </w:rPr>
        <w:t>〔2〕</w:t>
      </w:r>
    </w:p>
    <w:p>
      <w:r>
        <w:t>本报告的用途是为业务数据复核、供应链审计和出口管制策略研究提供公开来源底稿。因此，报告将“贸易统计能够证明的来源结构”和“仍需单证核验的路径推演”分开表述：前者用于判断依赖程度，后者只用于形成核验清单。</w:t>
      </w:r>
    </w:p>
    <w:p>
      <w:pPr>
        <w:pStyle w:val="Heading1"/>
      </w:pPr>
      <w:r>
        <w:t>二、商品边界与统计口径</w:t>
      </w:r>
    </w:p>
    <w:p>
      <w:r>
        <w:t>HS 284690：除铈化合物外的其他稀土金属、钇或钪的无机或有机化合物；管制判断仍需下钻元素与技术参数。</w:t>
      </w:r>
    </w:p>
    <w:p>
      <w:r>
        <w:t>网页矩阵和本报告均优先使用真实可复核编码。当前国际比较口径为 HS6 国际可比口径 284690；如公开来源只能稳定提供 HS6，本报告即如实使用 HS6，不补零、不以父级税目金额替代具体物项。</w:t>
      </w:r>
    </w:p>
    <w:p>
      <w:pPr>
        <w:pStyle w:val="Heading1"/>
      </w:pPr>
      <w:r>
        <w:t>三、数据事实</w:t>
      </w:r>
    </w:p>
    <w:p>
      <w:pPr>
        <w:pStyle w:val="ListBullet"/>
        <w:spacing w:after="80"/>
      </w:pPr>
      <w:r>
        <w:rPr>
          <w:rFonts w:ascii="Microsoft YaHei" w:hAnsi="Microsoft YaHei" w:eastAsia="Microsoft YaHei"/>
          <w:sz w:val="21"/>
        </w:rPr>
        <w:t>2025 年印度自中国进口约 491 万美元，全球进口约 1294 万美元，对华来源占比 37.9%。</w:t>
      </w:r>
      <w:r>
        <w:rPr>
          <w:rFonts w:ascii="Microsoft YaHei" w:hAnsi="Microsoft YaHei" w:eastAsia="Microsoft YaHei"/>
          <w:b w:val="0"/>
          <w:color w:val="1F4D78"/>
          <w:sz w:val="16"/>
          <w:vertAlign w:val="superscript"/>
        </w:rPr>
        <w:t>〔3〕</w:t>
      </w:r>
    </w:p>
    <w:p>
      <w:pPr>
        <w:pStyle w:val="ListBullet"/>
        <w:spacing w:after="80"/>
      </w:pPr>
      <w:r>
        <w:rPr>
          <w:rFonts w:ascii="Microsoft YaHei" w:hAnsi="Microsoft YaHei" w:eastAsia="Microsoft YaHei"/>
          <w:sz w:val="21"/>
        </w:rPr>
        <w:t>印度重工业部 2025 年 8 月 1 日议会答复披露，2022—2025 年两个主要永磁体税号下，中国占印度进口金额的 59.6%—81.3%，占进口数量的 82.2%—90.4%。</w:t>
      </w:r>
      <w:r>
        <w:rPr>
          <w:rFonts w:ascii="Microsoft YaHei" w:hAnsi="Microsoft YaHei" w:eastAsia="Microsoft YaHei"/>
          <w:b w:val="0"/>
          <w:color w:val="1F4D78"/>
          <w:sz w:val="16"/>
          <w:vertAlign w:val="superscript"/>
        </w:rPr>
        <w:t>〔4〕</w:t>
      </w:r>
    </w:p>
    <w:p>
      <w:pPr>
        <w:pStyle w:val="ListBullet"/>
        <w:spacing w:after="80"/>
      </w:pPr>
      <w:r>
        <w:rPr>
          <w:rFonts w:ascii="Microsoft YaHei" w:hAnsi="Microsoft YaHei" w:eastAsia="Microsoft YaHei"/>
          <w:sz w:val="21"/>
        </w:rPr>
        <w:t>《印度快报》基于官方贸易数据报道，2024—2025 财年印度永久磁体进口量约 5.37 万吨，其中约 5 万吨来自中国，占比约 93%。</w:t>
      </w:r>
      <w:r>
        <w:rPr>
          <w:rFonts w:ascii="Microsoft YaHei" w:hAnsi="Microsoft YaHei" w:eastAsia="Microsoft YaHei"/>
          <w:b w:val="0"/>
          <w:color w:val="1F4D78"/>
          <w:sz w:val="16"/>
          <w:vertAlign w:val="superscript"/>
        </w:rPr>
        <w:t>〔5〕</w:t>
      </w:r>
    </w:p>
    <w:p>
      <w:pPr>
        <w:pStyle w:val="ListBullet"/>
        <w:spacing w:after="80"/>
      </w:pPr>
      <w:r>
        <w:rPr>
          <w:rFonts w:ascii="Microsoft YaHei" w:hAnsi="Microsoft YaHei" w:eastAsia="Microsoft YaHei"/>
          <w:sz w:val="21"/>
        </w:rPr>
        <w:t>CRISIL Ratings 2025 年 6 月指出，印度上一财年约 540 吨稀土磁体进口中超过 80% 来自中国，汽车企业通常仅有四至六周库存。</w:t>
      </w:r>
      <w:r>
        <w:rPr>
          <w:rFonts w:ascii="Microsoft YaHei" w:hAnsi="Microsoft YaHei" w:eastAsia="Microsoft YaHei"/>
          <w:b w:val="0"/>
          <w:color w:val="1F4D78"/>
          <w:sz w:val="16"/>
          <w:vertAlign w:val="superscript"/>
        </w:rPr>
        <w:t>〔6〕</w:t>
      </w:r>
    </w:p>
    <w:p>
      <w:pPr>
        <w:pStyle w:val="ListBullet"/>
        <w:spacing w:after="80"/>
      </w:pPr>
      <w:r>
        <w:rPr>
          <w:rFonts w:ascii="Microsoft YaHei" w:hAnsi="Microsoft YaHei" w:eastAsia="Microsoft YaHei"/>
          <w:sz w:val="21"/>
        </w:rPr>
        <w:t>印度官方数量表显示，HS 2846 总进口量由 2019—20 年度 1375 吨降至 2023—24 年度 1086 吨；中国在 2020—21 至 2023—24 年连续保持主要来源国。</w:t>
      </w:r>
      <w:r>
        <w:rPr>
          <w:rFonts w:ascii="Microsoft YaHei" w:hAnsi="Microsoft YaHei" w:eastAsia="Microsoft YaHei"/>
          <w:b w:val="0"/>
          <w:color w:val="1F4D78"/>
          <w:sz w:val="16"/>
          <w:vertAlign w:val="superscript"/>
        </w:rPr>
        <w:t>〔7〕</w:t>
      </w:r>
    </w:p>
    <w:p>
      <w:r>
        <w:t>上述金额均为现价美元口径。印度进口统计通常采用 CIF 进口口径；中国海关出口镜像采用中国出口统计口径。两类口径可以互相校验方向和异常，但不能直接相加或替代。</w:t>
      </w:r>
    </w:p>
    <w:p>
      <w:pPr>
        <w:pStyle w:val="Heading1"/>
      </w:pPr>
      <w:r>
        <w:t>四、中国海关 HS8 出口镜像</w:t>
      </w:r>
    </w:p>
    <w:p>
      <w:pPr>
        <w:spacing w:after="120"/>
      </w:pPr>
      <w:r>
        <w:rPr>
          <w:rFonts w:ascii="Microsoft YaHei" w:hAnsi="Microsoft YaHei" w:eastAsia="Microsoft YaHei"/>
          <w:sz w:val="21"/>
        </w:rPr>
        <w:t>在中国海关出口镜像中，HS6 284690 下共匹配 13 个真实 HS8 子项。2025 年中国出口至印度金额为 5.45 百万美元；2026 年已导出月份合计为 1.91 百万美元。2025—2026 已导出月份中，月度峰值出现在 202511，金额为 1.15 百万美元。</w:t>
      </w:r>
      <w:r>
        <w:rPr>
          <w:rFonts w:ascii="Microsoft YaHei" w:hAnsi="Microsoft YaHei" w:eastAsia="Microsoft YaHei"/>
          <w:b w:val="0"/>
          <w:color w:val="1F4D78"/>
          <w:sz w:val="16"/>
          <w:vertAlign w:val="superscript"/>
        </w:rPr>
        <w:t>〔8〕</w:t>
      </w:r>
    </w:p>
    <w:tbl>
      <w:tblPr>
        <w:tblStyle w:val="TableGrid"/>
        <w:jc w:val="center"/>
        <w:tblLook w:firstColumn="1" w:firstRow="1" w:lastColumn="0" w:lastRow="0" w:noHBand="0" w:noVBand="1" w:val="04A0"/>
        <w:tblW w:w="9360" w:type="dxa"/>
        <w:tblInd w:w="120" w:type="dxa"/>
        <w:tblLayout w:type="fixed"/>
        <w:tblCellMar>
          <w:top w:w="80" w:type="dxa"/>
          <w:start w:w="120" w:type="dxa"/>
          <w:bottom w:w="80" w:type="dxa"/>
          <w:end w:w="120" w:type="dxa"/>
        </w:tblCellMar>
      </w:tblPr>
      <w:tblGrid>
        <w:gridCol w:w="1300"/>
        <w:gridCol w:w="4260"/>
        <w:gridCol w:w="1700"/>
        <w:gridCol w:w="2100"/>
      </w:tblGrid>
      <w:tr>
        <w:trPr>
          <w:tblHeader w:val="true"/>
        </w:trPr>
        <w:tc>
          <w:tcPr>
            <w:tcW w:type="dxa" w:w="1300"/>
            <w:shd w:fill="F2F4F7"/>
            <w:vAlign w:val="center"/>
          </w:tcPr>
          <w:p>
            <w:pPr>
              <w:spacing w:after="0"/>
            </w:pPr>
            <w:r/>
            <w:r>
              <w:rPr>
                <w:rFonts w:ascii="Microsoft YaHei" w:hAnsi="Microsoft YaHei" w:eastAsia="Microsoft YaHei"/>
                <w:b/>
                <w:color w:val="1F4D78"/>
                <w:sz w:val="19"/>
              </w:rPr>
              <w:t>HS8</w:t>
            </w:r>
          </w:p>
        </w:tc>
        <w:tc>
          <w:tcPr>
            <w:tcW w:type="dxa" w:w="4260"/>
            <w:shd w:fill="F2F4F7"/>
            <w:vAlign w:val="center"/>
          </w:tcPr>
          <w:p>
            <w:pPr>
              <w:spacing w:after="0"/>
            </w:pPr>
            <w:r/>
            <w:r>
              <w:rPr>
                <w:rFonts w:ascii="Microsoft YaHei" w:hAnsi="Microsoft YaHei" w:eastAsia="Microsoft YaHei"/>
                <w:b/>
                <w:color w:val="1F4D78"/>
                <w:sz w:val="19"/>
              </w:rPr>
              <w:t>商品名称</w:t>
            </w:r>
          </w:p>
        </w:tc>
        <w:tc>
          <w:tcPr>
            <w:tcW w:type="dxa" w:w="1700"/>
            <w:shd w:fill="F2F4F7"/>
            <w:vAlign w:val="center"/>
          </w:tcPr>
          <w:p>
            <w:pPr>
              <w:spacing w:after="0"/>
            </w:pPr>
            <w:r/>
            <w:r>
              <w:rPr>
                <w:rFonts w:ascii="Microsoft YaHei" w:hAnsi="Microsoft YaHei" w:eastAsia="Microsoft YaHei"/>
                <w:b/>
                <w:color w:val="1F4D78"/>
                <w:sz w:val="19"/>
              </w:rPr>
              <w:t>2025出口额</w:t>
            </w:r>
          </w:p>
        </w:tc>
        <w:tc>
          <w:tcPr>
            <w:tcW w:type="dxa" w:w="2100"/>
            <w:shd w:fill="F2F4F7"/>
            <w:vAlign w:val="center"/>
          </w:tcPr>
          <w:p>
            <w:pPr>
              <w:spacing w:after="0"/>
            </w:pPr>
            <w:r/>
            <w:r>
              <w:rPr>
                <w:rFonts w:ascii="Microsoft YaHei" w:hAnsi="Microsoft YaHei" w:eastAsia="Microsoft YaHei"/>
                <w:b/>
                <w:color w:val="1F4D78"/>
                <w:sz w:val="19"/>
              </w:rPr>
              <w:t>主要贸易方式</w:t>
            </w:r>
          </w:p>
        </w:tc>
      </w:tr>
      <w:tr>
        <w:tc>
          <w:tcPr>
            <w:tcW w:type="dxa" w:w="1300"/>
            <w:vAlign w:val="center"/>
          </w:tcPr>
          <w:p>
            <w:pPr>
              <w:spacing w:after="0"/>
            </w:pPr>
            <w:r/>
            <w:r>
              <w:rPr>
                <w:rFonts w:ascii="Microsoft YaHei" w:hAnsi="Microsoft YaHei" w:eastAsia="Microsoft YaHei"/>
                <w:b w:val="0"/>
                <w:color w:val="000000"/>
                <w:sz w:val="19"/>
              </w:rPr>
              <w:t>28469099</w:t>
            </w:r>
          </w:p>
        </w:tc>
        <w:tc>
          <w:tcPr>
            <w:tcW w:type="dxa" w:w="4260"/>
            <w:vAlign w:val="center"/>
          </w:tcPr>
          <w:p>
            <w:pPr>
              <w:spacing w:after="0"/>
            </w:pPr>
            <w:r/>
            <w:r>
              <w:rPr>
                <w:rFonts w:ascii="Microsoft YaHei" w:hAnsi="Microsoft YaHei" w:eastAsia="Microsoft YaHei"/>
                <w:b w:val="0"/>
                <w:color w:val="000000"/>
                <w:sz w:val="19"/>
              </w:rPr>
              <w:t>未列名稀土金属及其混合物的化合物</w:t>
            </w:r>
          </w:p>
        </w:tc>
        <w:tc>
          <w:tcPr>
            <w:tcW w:type="dxa" w:w="1700"/>
            <w:vAlign w:val="center"/>
          </w:tcPr>
          <w:p>
            <w:pPr>
              <w:spacing w:after="0"/>
            </w:pPr>
            <w:r/>
            <w:r>
              <w:rPr>
                <w:rFonts w:ascii="Microsoft YaHei" w:hAnsi="Microsoft YaHei" w:eastAsia="Microsoft YaHei"/>
                <w:b w:val="0"/>
                <w:color w:val="000000"/>
                <w:sz w:val="19"/>
              </w:rPr>
              <w:t>4.30 百万美元</w:t>
            </w:r>
          </w:p>
        </w:tc>
        <w:tc>
          <w:tcPr>
            <w:tcW w:type="dxa" w:w="2100"/>
            <w:vAlign w:val="center"/>
          </w:tcPr>
          <w:p>
            <w:pPr>
              <w:spacing w:after="0"/>
            </w:pPr>
            <w:r/>
            <w:r>
              <w:rPr>
                <w:rFonts w:ascii="Microsoft YaHei" w:hAnsi="Microsoft YaHei" w:eastAsia="Microsoft YaHei"/>
                <w:b w:val="0"/>
                <w:color w:val="000000"/>
                <w:sz w:val="19"/>
              </w:rPr>
              <w:t>一般贸易</w:t>
            </w:r>
          </w:p>
        </w:tc>
      </w:tr>
      <w:tr>
        <w:tc>
          <w:tcPr>
            <w:tcW w:type="dxa" w:w="1300"/>
            <w:vAlign w:val="center"/>
          </w:tcPr>
          <w:p>
            <w:pPr>
              <w:spacing w:after="0"/>
            </w:pPr>
            <w:r/>
            <w:r>
              <w:rPr>
                <w:rFonts w:ascii="Microsoft YaHei" w:hAnsi="Microsoft YaHei" w:eastAsia="Microsoft YaHei"/>
                <w:b w:val="0"/>
                <w:color w:val="000000"/>
                <w:sz w:val="19"/>
              </w:rPr>
              <w:t>28469019</w:t>
            </w:r>
          </w:p>
        </w:tc>
        <w:tc>
          <w:tcPr>
            <w:tcW w:type="dxa" w:w="4260"/>
            <w:vAlign w:val="center"/>
          </w:tcPr>
          <w:p>
            <w:pPr>
              <w:spacing w:after="0"/>
            </w:pPr>
            <w:r/>
            <w:r>
              <w:rPr>
                <w:rFonts w:ascii="Microsoft YaHei" w:hAnsi="Microsoft YaHei" w:eastAsia="Microsoft YaHei"/>
                <w:b w:val="0"/>
                <w:color w:val="000000"/>
                <w:sz w:val="19"/>
              </w:rPr>
              <w:t>未列名氧化稀土</w:t>
            </w:r>
          </w:p>
        </w:tc>
        <w:tc>
          <w:tcPr>
            <w:tcW w:type="dxa" w:w="1700"/>
            <w:vAlign w:val="center"/>
          </w:tcPr>
          <w:p>
            <w:pPr>
              <w:spacing w:after="0"/>
            </w:pPr>
            <w:r/>
            <w:r>
              <w:rPr>
                <w:rFonts w:ascii="Microsoft YaHei" w:hAnsi="Microsoft YaHei" w:eastAsia="Microsoft YaHei"/>
                <w:b w:val="0"/>
                <w:color w:val="000000"/>
                <w:sz w:val="19"/>
              </w:rPr>
              <w:t>1.03 百万美元</w:t>
            </w:r>
          </w:p>
        </w:tc>
        <w:tc>
          <w:tcPr>
            <w:tcW w:type="dxa" w:w="2100"/>
            <w:vAlign w:val="center"/>
          </w:tcPr>
          <w:p>
            <w:pPr>
              <w:spacing w:after="0"/>
            </w:pPr>
            <w:r/>
            <w:r>
              <w:rPr>
                <w:rFonts w:ascii="Microsoft YaHei" w:hAnsi="Microsoft YaHei" w:eastAsia="Microsoft YaHei"/>
                <w:b w:val="0"/>
                <w:color w:val="000000"/>
                <w:sz w:val="19"/>
              </w:rPr>
              <w:t>一般贸易</w:t>
            </w:r>
          </w:p>
        </w:tc>
      </w:tr>
      <w:tr>
        <w:tc>
          <w:tcPr>
            <w:tcW w:type="dxa" w:w="1300"/>
            <w:vAlign w:val="center"/>
          </w:tcPr>
          <w:p>
            <w:pPr>
              <w:spacing w:after="0"/>
            </w:pPr>
            <w:r/>
            <w:r>
              <w:rPr>
                <w:rFonts w:ascii="Microsoft YaHei" w:hAnsi="Microsoft YaHei" w:eastAsia="Microsoft YaHei"/>
                <w:b w:val="0"/>
                <w:color w:val="000000"/>
                <w:sz w:val="19"/>
              </w:rPr>
              <w:t>28469012</w:t>
            </w:r>
          </w:p>
        </w:tc>
        <w:tc>
          <w:tcPr>
            <w:tcW w:type="dxa" w:w="4260"/>
            <w:vAlign w:val="center"/>
          </w:tcPr>
          <w:p>
            <w:pPr>
              <w:spacing w:after="0"/>
            </w:pPr>
            <w:r/>
            <w:r>
              <w:rPr>
                <w:rFonts w:ascii="Microsoft YaHei" w:hAnsi="Microsoft YaHei" w:eastAsia="Microsoft YaHei"/>
                <w:b w:val="0"/>
                <w:color w:val="000000"/>
                <w:sz w:val="19"/>
              </w:rPr>
              <w:t>氧化镧</w:t>
            </w:r>
          </w:p>
        </w:tc>
        <w:tc>
          <w:tcPr>
            <w:tcW w:type="dxa" w:w="1700"/>
            <w:vAlign w:val="center"/>
          </w:tcPr>
          <w:p>
            <w:pPr>
              <w:spacing w:after="0"/>
            </w:pPr>
            <w:r/>
            <w:r>
              <w:rPr>
                <w:rFonts w:ascii="Microsoft YaHei" w:hAnsi="Microsoft YaHei" w:eastAsia="Microsoft YaHei"/>
                <w:b w:val="0"/>
                <w:color w:val="000000"/>
                <w:sz w:val="19"/>
              </w:rPr>
              <w:t>47,097 美元</w:t>
            </w:r>
          </w:p>
        </w:tc>
        <w:tc>
          <w:tcPr>
            <w:tcW w:type="dxa" w:w="2100"/>
            <w:vAlign w:val="center"/>
          </w:tcPr>
          <w:p>
            <w:pPr>
              <w:spacing w:after="0"/>
            </w:pPr>
            <w:r/>
            <w:r>
              <w:rPr>
                <w:rFonts w:ascii="Microsoft YaHei" w:hAnsi="Microsoft YaHei" w:eastAsia="Microsoft YaHei"/>
                <w:b w:val="0"/>
                <w:color w:val="000000"/>
                <w:sz w:val="19"/>
              </w:rPr>
              <w:t>一般贸易</w:t>
            </w:r>
          </w:p>
        </w:tc>
      </w:tr>
      <w:tr>
        <w:tc>
          <w:tcPr>
            <w:tcW w:type="dxa" w:w="1300"/>
            <w:vAlign w:val="center"/>
          </w:tcPr>
          <w:p>
            <w:pPr>
              <w:spacing w:after="0"/>
            </w:pPr>
            <w:r/>
            <w:r>
              <w:rPr>
                <w:rFonts w:ascii="Microsoft YaHei" w:hAnsi="Microsoft YaHei" w:eastAsia="Microsoft YaHei"/>
                <w:b w:val="0"/>
                <w:color w:val="000000"/>
                <w:sz w:val="19"/>
              </w:rPr>
              <w:t>28469023</w:t>
            </w:r>
          </w:p>
        </w:tc>
        <w:tc>
          <w:tcPr>
            <w:tcW w:type="dxa" w:w="4260"/>
            <w:vAlign w:val="center"/>
          </w:tcPr>
          <w:p>
            <w:pPr>
              <w:spacing w:after="0"/>
            </w:pPr>
            <w:r/>
            <w:r>
              <w:rPr>
                <w:rFonts w:ascii="Microsoft YaHei" w:hAnsi="Microsoft YaHei" w:eastAsia="Microsoft YaHei"/>
                <w:b w:val="0"/>
                <w:color w:val="000000"/>
                <w:sz w:val="19"/>
              </w:rPr>
              <w:t>氯化镧</w:t>
            </w:r>
          </w:p>
        </w:tc>
        <w:tc>
          <w:tcPr>
            <w:tcW w:type="dxa" w:w="1700"/>
            <w:vAlign w:val="center"/>
          </w:tcPr>
          <w:p>
            <w:pPr>
              <w:spacing w:after="0"/>
            </w:pPr>
            <w:r/>
            <w:r>
              <w:rPr>
                <w:rFonts w:ascii="Microsoft YaHei" w:hAnsi="Microsoft YaHei" w:eastAsia="Microsoft YaHei"/>
                <w:b w:val="0"/>
                <w:color w:val="000000"/>
                <w:sz w:val="19"/>
              </w:rPr>
              <w:t>41,984 美元</w:t>
            </w:r>
          </w:p>
        </w:tc>
        <w:tc>
          <w:tcPr>
            <w:tcW w:type="dxa" w:w="2100"/>
            <w:vAlign w:val="center"/>
          </w:tcPr>
          <w:p>
            <w:pPr>
              <w:spacing w:after="0"/>
            </w:pPr>
            <w:r/>
            <w:r>
              <w:rPr>
                <w:rFonts w:ascii="Microsoft YaHei" w:hAnsi="Microsoft YaHei" w:eastAsia="Microsoft YaHei"/>
                <w:b w:val="0"/>
                <w:color w:val="000000"/>
                <w:sz w:val="19"/>
              </w:rPr>
              <w:t>一般贸易</w:t>
            </w:r>
          </w:p>
        </w:tc>
      </w:tr>
      <w:tr>
        <w:tc>
          <w:tcPr>
            <w:tcW w:type="dxa" w:w="1300"/>
            <w:vAlign w:val="center"/>
          </w:tcPr>
          <w:p>
            <w:pPr>
              <w:spacing w:after="0"/>
            </w:pPr>
            <w:r/>
            <w:r>
              <w:rPr>
                <w:rFonts w:ascii="Microsoft YaHei" w:hAnsi="Microsoft YaHei" w:eastAsia="Microsoft YaHei"/>
                <w:b w:val="0"/>
                <w:color w:val="000000"/>
                <w:sz w:val="19"/>
              </w:rPr>
              <w:t>28469091</w:t>
            </w:r>
          </w:p>
        </w:tc>
        <w:tc>
          <w:tcPr>
            <w:tcW w:type="dxa" w:w="4260"/>
            <w:vAlign w:val="center"/>
          </w:tcPr>
          <w:p>
            <w:pPr>
              <w:spacing w:after="0"/>
            </w:pPr>
            <w:r/>
            <w:r>
              <w:rPr>
                <w:rFonts w:ascii="Microsoft YaHei" w:hAnsi="Microsoft YaHei" w:eastAsia="Microsoft YaHei"/>
                <w:b w:val="0"/>
                <w:color w:val="000000"/>
                <w:sz w:val="19"/>
              </w:rPr>
              <w:t>镧的其他化合物</w:t>
            </w:r>
          </w:p>
        </w:tc>
        <w:tc>
          <w:tcPr>
            <w:tcW w:type="dxa" w:w="1700"/>
            <w:vAlign w:val="center"/>
          </w:tcPr>
          <w:p>
            <w:pPr>
              <w:spacing w:after="0"/>
            </w:pPr>
            <w:r/>
            <w:r>
              <w:rPr>
                <w:rFonts w:ascii="Microsoft YaHei" w:hAnsi="Microsoft YaHei" w:eastAsia="Microsoft YaHei"/>
                <w:b w:val="0"/>
                <w:color w:val="000000"/>
                <w:sz w:val="19"/>
              </w:rPr>
              <w:t>16,508 美元</w:t>
            </w:r>
          </w:p>
        </w:tc>
        <w:tc>
          <w:tcPr>
            <w:tcW w:type="dxa" w:w="2100"/>
            <w:vAlign w:val="center"/>
          </w:tcPr>
          <w:p>
            <w:pPr>
              <w:spacing w:after="0"/>
            </w:pPr>
            <w:r/>
            <w:r>
              <w:rPr>
                <w:rFonts w:ascii="Microsoft YaHei" w:hAnsi="Microsoft YaHei" w:eastAsia="Microsoft YaHei"/>
                <w:b w:val="0"/>
                <w:color w:val="000000"/>
                <w:sz w:val="19"/>
              </w:rPr>
              <w:t>一般贸易</w:t>
            </w:r>
          </w:p>
        </w:tc>
      </w:tr>
      <w:tr>
        <w:tc>
          <w:tcPr>
            <w:tcW w:type="dxa" w:w="1300"/>
            <w:vAlign w:val="center"/>
          </w:tcPr>
          <w:p>
            <w:pPr>
              <w:spacing w:after="0"/>
            </w:pPr>
            <w:r/>
            <w:r>
              <w:rPr>
                <w:rFonts w:ascii="Microsoft YaHei" w:hAnsi="Microsoft YaHei" w:eastAsia="Microsoft YaHei"/>
                <w:b w:val="0"/>
                <w:color w:val="000000"/>
                <w:sz w:val="19"/>
              </w:rPr>
              <w:t>28469024</w:t>
            </w:r>
          </w:p>
        </w:tc>
        <w:tc>
          <w:tcPr>
            <w:tcW w:type="dxa" w:w="4260"/>
            <w:vAlign w:val="center"/>
          </w:tcPr>
          <w:p>
            <w:pPr>
              <w:spacing w:after="0"/>
            </w:pPr>
            <w:r/>
            <w:r>
              <w:rPr>
                <w:rFonts w:ascii="Microsoft YaHei" w:hAnsi="Microsoft YaHei" w:eastAsia="Microsoft YaHei"/>
                <w:b w:val="0"/>
                <w:color w:val="000000"/>
                <w:sz w:val="19"/>
              </w:rPr>
              <w:t>氯化钕</w:t>
            </w:r>
          </w:p>
        </w:tc>
        <w:tc>
          <w:tcPr>
            <w:tcW w:type="dxa" w:w="1700"/>
            <w:vAlign w:val="center"/>
          </w:tcPr>
          <w:p>
            <w:pPr>
              <w:spacing w:after="0"/>
            </w:pPr>
            <w:r/>
            <w:r>
              <w:rPr>
                <w:rFonts w:ascii="Microsoft YaHei" w:hAnsi="Microsoft YaHei" w:eastAsia="Microsoft YaHei"/>
                <w:b w:val="0"/>
                <w:color w:val="000000"/>
                <w:sz w:val="19"/>
              </w:rPr>
              <w:t>6,580 美元</w:t>
            </w:r>
          </w:p>
        </w:tc>
        <w:tc>
          <w:tcPr>
            <w:tcW w:type="dxa" w:w="2100"/>
            <w:vAlign w:val="center"/>
          </w:tcPr>
          <w:p>
            <w:pPr>
              <w:spacing w:after="0"/>
            </w:pPr>
            <w:r/>
            <w:r>
              <w:rPr>
                <w:rFonts w:ascii="Microsoft YaHei" w:hAnsi="Microsoft YaHei" w:eastAsia="Microsoft YaHei"/>
                <w:b w:val="0"/>
                <w:color w:val="000000"/>
                <w:sz w:val="19"/>
              </w:rPr>
              <w:t>一般贸易</w:t>
            </w:r>
          </w:p>
        </w:tc>
      </w:tr>
      <w:tr>
        <w:tc>
          <w:tcPr>
            <w:tcW w:type="dxa" w:w="1300"/>
            <w:vAlign w:val="center"/>
          </w:tcPr>
          <w:p>
            <w:pPr>
              <w:spacing w:after="0"/>
            </w:pPr>
            <w:r/>
            <w:r>
              <w:rPr>
                <w:rFonts w:ascii="Microsoft YaHei" w:hAnsi="Microsoft YaHei" w:eastAsia="Microsoft YaHei"/>
                <w:b w:val="0"/>
                <w:color w:val="000000"/>
                <w:sz w:val="19"/>
              </w:rPr>
              <w:t>28469094</w:t>
            </w:r>
          </w:p>
        </w:tc>
        <w:tc>
          <w:tcPr>
            <w:tcW w:type="dxa" w:w="4260"/>
            <w:vAlign w:val="center"/>
          </w:tcPr>
          <w:p>
            <w:pPr>
              <w:spacing w:after="0"/>
            </w:pPr>
            <w:r/>
            <w:r>
              <w:rPr>
                <w:rFonts w:ascii="Microsoft YaHei" w:hAnsi="Microsoft YaHei" w:eastAsia="Microsoft YaHei"/>
                <w:b w:val="0"/>
                <w:color w:val="000000"/>
                <w:sz w:val="19"/>
              </w:rPr>
              <w:t>镝的其他化合物</w:t>
            </w:r>
          </w:p>
        </w:tc>
        <w:tc>
          <w:tcPr>
            <w:tcW w:type="dxa" w:w="1700"/>
            <w:vAlign w:val="center"/>
          </w:tcPr>
          <w:p>
            <w:pPr>
              <w:spacing w:after="0"/>
            </w:pPr>
            <w:r/>
            <w:r>
              <w:rPr>
                <w:rFonts w:ascii="Microsoft YaHei" w:hAnsi="Microsoft YaHei" w:eastAsia="Microsoft YaHei"/>
                <w:b w:val="0"/>
                <w:color w:val="000000"/>
                <w:sz w:val="19"/>
              </w:rPr>
              <w:t>3,750 美元</w:t>
            </w:r>
          </w:p>
        </w:tc>
        <w:tc>
          <w:tcPr>
            <w:tcW w:type="dxa" w:w="2100"/>
            <w:vAlign w:val="center"/>
          </w:tcPr>
          <w:p>
            <w:pPr>
              <w:spacing w:after="0"/>
            </w:pPr>
            <w:r/>
            <w:r>
              <w:rPr>
                <w:rFonts w:ascii="Microsoft YaHei" w:hAnsi="Microsoft YaHei" w:eastAsia="Microsoft YaHei"/>
                <w:b w:val="0"/>
                <w:color w:val="000000"/>
                <w:sz w:val="19"/>
              </w:rPr>
              <w:t>一般贸易</w:t>
            </w:r>
          </w:p>
        </w:tc>
      </w:tr>
      <w:tr>
        <w:tc>
          <w:tcPr>
            <w:tcW w:type="dxa" w:w="1300"/>
            <w:vAlign w:val="center"/>
          </w:tcPr>
          <w:p>
            <w:pPr>
              <w:spacing w:after="0"/>
            </w:pPr>
            <w:r/>
            <w:r>
              <w:rPr>
                <w:rFonts w:ascii="Microsoft YaHei" w:hAnsi="Microsoft YaHei" w:eastAsia="Microsoft YaHei"/>
                <w:b w:val="0"/>
                <w:color w:val="000000"/>
                <w:sz w:val="19"/>
              </w:rPr>
              <w:t>28469041</w:t>
            </w:r>
          </w:p>
        </w:tc>
        <w:tc>
          <w:tcPr>
            <w:tcW w:type="dxa" w:w="4260"/>
            <w:vAlign w:val="center"/>
          </w:tcPr>
          <w:p>
            <w:pPr>
              <w:spacing w:after="0"/>
            </w:pPr>
            <w:r/>
            <w:r>
              <w:rPr>
                <w:rFonts w:ascii="Microsoft YaHei" w:hAnsi="Microsoft YaHei" w:eastAsia="Microsoft YaHei"/>
                <w:b w:val="0"/>
                <w:color w:val="000000"/>
                <w:sz w:val="19"/>
              </w:rPr>
              <w:t>碳酸镧</w:t>
            </w:r>
          </w:p>
        </w:tc>
        <w:tc>
          <w:tcPr>
            <w:tcW w:type="dxa" w:w="1700"/>
            <w:vAlign w:val="center"/>
          </w:tcPr>
          <w:p>
            <w:pPr>
              <w:spacing w:after="0"/>
            </w:pPr>
            <w:r/>
            <w:r>
              <w:rPr>
                <w:rFonts w:ascii="Microsoft YaHei" w:hAnsi="Microsoft YaHei" w:eastAsia="Microsoft YaHei"/>
                <w:b w:val="0"/>
                <w:color w:val="000000"/>
                <w:sz w:val="19"/>
              </w:rPr>
              <w:t>116 美元</w:t>
            </w:r>
          </w:p>
        </w:tc>
        <w:tc>
          <w:tcPr>
            <w:tcW w:type="dxa" w:w="2100"/>
            <w:vAlign w:val="center"/>
          </w:tcPr>
          <w:p>
            <w:pPr>
              <w:spacing w:after="0"/>
            </w:pPr>
            <w:r/>
            <w:r>
              <w:rPr>
                <w:rFonts w:ascii="Microsoft YaHei" w:hAnsi="Microsoft YaHei" w:eastAsia="Microsoft YaHei"/>
                <w:b w:val="0"/>
                <w:color w:val="000000"/>
                <w:sz w:val="19"/>
              </w:rPr>
              <w:t>一般贸易</w:t>
            </w:r>
          </w:p>
        </w:tc>
      </w:tr>
      <w:tr>
        <w:tc>
          <w:tcPr>
            <w:tcW w:type="dxa" w:w="1300"/>
            <w:vAlign w:val="center"/>
          </w:tcPr>
          <w:p>
            <w:pPr>
              <w:spacing w:after="0"/>
            </w:pPr>
            <w:r/>
            <w:r>
              <w:rPr>
                <w:rFonts w:ascii="Microsoft YaHei" w:hAnsi="Microsoft YaHei" w:eastAsia="Microsoft YaHei"/>
                <w:b w:val="0"/>
                <w:color w:val="000000"/>
                <w:sz w:val="19"/>
              </w:rPr>
              <w:t>28469034</w:t>
            </w:r>
          </w:p>
        </w:tc>
        <w:tc>
          <w:tcPr>
            <w:tcW w:type="dxa" w:w="4260"/>
            <w:vAlign w:val="center"/>
          </w:tcPr>
          <w:p>
            <w:pPr>
              <w:spacing w:after="0"/>
            </w:pPr>
            <w:r/>
            <w:r>
              <w:rPr>
                <w:rFonts w:ascii="Microsoft YaHei" w:hAnsi="Microsoft YaHei" w:eastAsia="Microsoft YaHei"/>
                <w:b w:val="0"/>
                <w:color w:val="000000"/>
                <w:sz w:val="19"/>
              </w:rPr>
              <w:t>氟化钕</w:t>
            </w:r>
          </w:p>
        </w:tc>
        <w:tc>
          <w:tcPr>
            <w:tcW w:type="dxa" w:w="1700"/>
            <w:vAlign w:val="center"/>
          </w:tcPr>
          <w:p>
            <w:pPr>
              <w:spacing w:after="0"/>
            </w:pPr>
            <w:r/>
            <w:r>
              <w:rPr>
                <w:rFonts w:ascii="Microsoft YaHei" w:hAnsi="Microsoft YaHei" w:eastAsia="Microsoft YaHei"/>
                <w:b w:val="0"/>
                <w:color w:val="000000"/>
                <w:sz w:val="19"/>
              </w:rPr>
              <w:t>0 美元</w:t>
            </w:r>
          </w:p>
        </w:tc>
        <w:tc>
          <w:tcPr>
            <w:tcW w:type="dxa" w:w="2100"/>
            <w:vAlign w:val="center"/>
          </w:tcPr>
          <w:p>
            <w:pPr>
              <w:spacing w:after="0"/>
            </w:pPr>
            <w:r/>
            <w:r>
              <w:rPr>
                <w:rFonts w:ascii="Microsoft YaHei" w:hAnsi="Microsoft YaHei" w:eastAsia="Microsoft YaHei"/>
                <w:b w:val="0"/>
                <w:color w:val="000000"/>
                <w:sz w:val="19"/>
              </w:rPr>
              <w:t>一般贸易</w:t>
            </w:r>
          </w:p>
        </w:tc>
      </w:tr>
      <w:tr>
        <w:tc>
          <w:tcPr>
            <w:tcW w:type="dxa" w:w="1300"/>
            <w:vAlign w:val="center"/>
          </w:tcPr>
          <w:p>
            <w:pPr>
              <w:spacing w:after="0"/>
            </w:pPr>
            <w:r/>
            <w:r>
              <w:rPr>
                <w:rFonts w:ascii="Microsoft YaHei" w:hAnsi="Microsoft YaHei" w:eastAsia="Microsoft YaHei"/>
                <w:b w:val="0"/>
                <w:color w:val="000000"/>
                <w:sz w:val="19"/>
              </w:rPr>
              <w:t>28469096</w:t>
            </w:r>
          </w:p>
        </w:tc>
        <w:tc>
          <w:tcPr>
            <w:tcW w:type="dxa" w:w="4260"/>
            <w:vAlign w:val="center"/>
          </w:tcPr>
          <w:p>
            <w:pPr>
              <w:spacing w:after="0"/>
            </w:pPr>
            <w:r/>
            <w:r>
              <w:rPr>
                <w:rFonts w:ascii="Microsoft YaHei" w:hAnsi="Microsoft YaHei" w:eastAsia="Microsoft YaHei"/>
                <w:b w:val="0"/>
                <w:color w:val="000000"/>
                <w:sz w:val="19"/>
              </w:rPr>
              <w:t>钇的其他化合物</w:t>
            </w:r>
          </w:p>
        </w:tc>
        <w:tc>
          <w:tcPr>
            <w:tcW w:type="dxa" w:w="1700"/>
            <w:vAlign w:val="center"/>
          </w:tcPr>
          <w:p>
            <w:pPr>
              <w:spacing w:after="0"/>
            </w:pPr>
            <w:r/>
            <w:r>
              <w:rPr>
                <w:rFonts w:ascii="Microsoft YaHei" w:hAnsi="Microsoft YaHei" w:eastAsia="Microsoft YaHei"/>
                <w:b w:val="0"/>
                <w:color w:val="000000"/>
                <w:sz w:val="19"/>
              </w:rPr>
              <w:t>0 美元</w:t>
            </w:r>
          </w:p>
        </w:tc>
        <w:tc>
          <w:tcPr>
            <w:tcW w:type="dxa" w:w="2100"/>
            <w:vAlign w:val="center"/>
          </w:tcPr>
          <w:p>
            <w:pPr>
              <w:spacing w:after="0"/>
            </w:pPr>
            <w:r/>
            <w:r>
              <w:rPr>
                <w:rFonts w:ascii="Microsoft YaHei" w:hAnsi="Microsoft YaHei" w:eastAsia="Microsoft YaHei"/>
                <w:b w:val="0"/>
                <w:color w:val="000000"/>
                <w:sz w:val="19"/>
              </w:rPr>
              <w:t>一般贸易</w:t>
            </w:r>
          </w:p>
        </w:tc>
      </w:tr>
    </w:tbl>
    <w:p>
      <w:pPr>
        <w:spacing w:after="120"/>
      </w:pPr>
      <w:r>
        <w:rPr>
          <w:rFonts w:ascii="Microsoft YaHei" w:hAnsi="Microsoft YaHei" w:eastAsia="Microsoft YaHei"/>
          <w:b w:val="0"/>
          <w:color w:val="666666"/>
          <w:sz w:val="18"/>
        </w:rPr>
        <w:t>表注：如某 HS6 下超过 10 个 HS8，表中列示金额靠前的主要子项；完整明细以网页交互卡片和原始 CSV 为准。</w:t>
      </w:r>
    </w:p>
    <w:p>
      <w:pPr>
        <w:pStyle w:val="Heading1"/>
      </w:pPr>
      <w:r>
        <w:t>五、第三国路径与判读边界</w:t>
      </w:r>
    </w:p>
    <w:p>
      <w:r>
        <w:t>两条路径均是风险网络而非转口事实。对于受控物项，技术参数、最终用户和最终用途优先于 HS4 与发票国。</w:t>
      </w:r>
    </w:p>
    <w:p>
      <w:r>
        <w:t>对 HS 284690 而言，第三国路径至少需要同时满足四类证据：第一，中国至中转节点存在同口径商品出口；第二，中转节点至印度存在同口径商品出口或印度进口；第三，金额、月份、数量单位和商品描述具有可比性；第四，原产地证书、提单、发票、加工记录或公开查发案例能够解释同一货物或同一供应网络。</w:t>
      </w:r>
    </w:p>
    <w:p>
      <w:pPr>
        <w:pStyle w:val="Heading1"/>
      </w:pPr>
      <w:r>
        <w:t>六、分析</w:t>
      </w:r>
    </w:p>
    <w:p>
      <w:r>
        <w:t>政策敏感度远高于金额本身。稀土永磁体的官方份额证据强于 HS 284690 化合物金额证据，说明印度对华依赖更集中在磁体和中游加工环节。</w:t>
      </w:r>
    </w:p>
    <w:p>
      <w:r>
        <w:t>审批延迟和库存周转数据表明，供应扰动可以在数周内传导到印度汽车、电机和新能源产业。</w:t>
      </w:r>
    </w:p>
    <w:p>
      <w:r>
        <w:t>通过第三国采购不当然绕开中国规则，也不当然意味着违法；关键是原产、加工、再出口义务、最终用户和最终用途。</w:t>
      </w:r>
    </w:p>
    <w:p>
      <w:r>
        <w:t>其他稀土金属化合物处于中等对华暴露区间。该区间的政策含义是：总体上并非完全依赖中国，但中国供应商可能在特定规格、价格带、交付节奏或售后环节形成局部优势。因此，应优先识别企业采购中是否存在若干关键料号高度集中，而不是简单按全国占比下结论。</w:t>
      </w:r>
    </w:p>
    <w:p>
      <w:r>
        <w:t>替代供应方面，2025 年除中国外的主要来源包括：奥地利、日本、德国、美国、法国。这些来源国可以作为供应分散化的第一批观察对象，但其是否具备现实替代能力，仍需进一步比较产品等级、报价条款、交期、认证记录、历史交付稳定性和售后能力。对于工程设备、电子电力和医药化工类商品，还需要特别注意整机、零部件、材料和中间体之间的税号差异。</w:t>
      </w:r>
    </w:p>
    <w:p>
      <w:r>
        <w:t>从中国出口管制策略研究角度看，HS 284690 只能作为筛查入口，不能直接替代受控物项判定。真正需要落到三个层级：第一，税号与商品描述是否锁定到具体物项；第二，技术参数、性能指标、材料形态或最终用途是否触及管制清单；第三，交易链条中的最终用户、最终用途、发票国、装运国和原产国是否一致。因此，本报告将贸易金额用于识别优先级，将单证和技术参数留作后续核验重点。</w:t>
      </w:r>
    </w:p>
    <w:p>
      <w:pPr>
        <w:pStyle w:val="Heading1"/>
      </w:pPr>
      <w:r>
        <w:t>七、结论</w:t>
      </w:r>
    </w:p>
    <w:p>
      <w:r>
        <w:t>稀土相关供应链应判定为高概率依赖，尤其是永磁体和中游加工环节。HS 284690 化合物页仍需保持编码边界：不能把永磁体数据直接混算为化合物金额，但足以支持该类物项进入高优先级管制与供应审计。</w:t>
      </w:r>
    </w:p>
    <w:p>
      <w:r>
        <w:t>准确度标注：高概率。结论主要基于公开统计与审慎边界表述。</w:t>
      </w:r>
    </w:p>
    <w:p>
      <w:pPr>
        <w:pStyle w:val="Heading1"/>
      </w:pPr>
      <w:r>
        <w:t>八、后续监测重点</w:t>
      </w:r>
    </w:p>
    <w:p>
      <w:pPr>
        <w:pStyle w:val="ListBullet"/>
        <w:spacing w:after="80"/>
      </w:pPr>
      <w:r>
        <w:rPr>
          <w:rFonts w:ascii="Microsoft YaHei" w:hAnsi="Microsoft YaHei" w:eastAsia="Microsoft YaHei"/>
          <w:sz w:val="21"/>
        </w:rPr>
        <w:t>284690 子目与具体元素、化合物形态、含量和用途</w:t>
      </w:r>
    </w:p>
    <w:p>
      <w:pPr>
        <w:pStyle w:val="ListBullet"/>
        <w:spacing w:after="80"/>
      </w:pPr>
      <w:r>
        <w:rPr>
          <w:rFonts w:ascii="Microsoft YaHei" w:hAnsi="Microsoft YaHei" w:eastAsia="Microsoft YaHei"/>
          <w:sz w:val="21"/>
        </w:rPr>
        <w:t>85051190、85051900 等永磁体税号的中国份额和审批状态</w:t>
      </w:r>
    </w:p>
    <w:p>
      <w:pPr>
        <w:pStyle w:val="ListBullet"/>
        <w:spacing w:after="80"/>
      </w:pPr>
      <w:r>
        <w:rPr>
          <w:rFonts w:ascii="Microsoft YaHei" w:hAnsi="Microsoft YaHei" w:eastAsia="Microsoft YaHei"/>
          <w:sz w:val="21"/>
        </w:rPr>
        <w:t>日本、韩国等替代来源的前序原产地</w:t>
      </w:r>
    </w:p>
    <w:p>
      <w:pPr>
        <w:pStyle w:val="ListBullet"/>
        <w:spacing w:after="80"/>
      </w:pPr>
      <w:r>
        <w:rPr>
          <w:rFonts w:ascii="Microsoft YaHei" w:hAnsi="Microsoft YaHei" w:eastAsia="Microsoft YaHei"/>
          <w:sz w:val="21"/>
        </w:rPr>
        <w:t>许可证、最终用户与最终用途声明</w:t>
      </w:r>
    </w:p>
    <w:p>
      <w:pPr>
        <w:pStyle w:val="Heading1"/>
      </w:pPr>
      <w:r>
        <w:t>脚注与数据来源</w:t>
      </w:r>
    </w:p>
    <w:p>
      <w:pPr>
        <w:spacing w:after="60"/>
      </w:pPr>
      <w:r>
        <w:rPr>
          <w:rFonts w:ascii="Microsoft YaHei" w:hAnsi="Microsoft YaHei" w:eastAsia="Microsoft YaHei"/>
          <w:b/>
          <w:color w:val="1F4D78"/>
          <w:sz w:val="18"/>
        </w:rPr>
        <w:t>〔1〕</w:t>
      </w:r>
      <w:r>
        <w:rPr>
          <w:rFonts w:ascii="Microsoft YaHei" w:hAnsi="Microsoft YaHei" w:eastAsia="Microsoft YaHei"/>
          <w:sz w:val="18"/>
        </w:rPr>
        <w:t>UN Comtrade 公共 API，报告国印度（reporterCode=699），贸易伙伴中国/世界（partnerCode=156/0），flowCode=M，cmdCode=284690，period=2025；访问日期 2026-07-24。</w:t>
      </w:r>
    </w:p>
    <w:p>
      <w:pPr>
        <w:spacing w:after="60"/>
      </w:pPr>
      <w:r>
        <w:rPr>
          <w:rFonts w:ascii="Microsoft YaHei" w:hAnsi="Microsoft YaHei" w:eastAsia="Microsoft YaHei"/>
          <w:b/>
          <w:color w:val="1F4D78"/>
          <w:sz w:val="18"/>
        </w:rPr>
        <w:t>〔2〕</w:t>
      </w:r>
      <w:r>
        <w:rPr>
          <w:rFonts w:ascii="Microsoft YaHei" w:hAnsi="Microsoft YaHei" w:eastAsia="Microsoft YaHei"/>
          <w:sz w:val="18"/>
        </w:rPr>
        <w:t>UN Comtrade 公共 API，报告国印度（reporterCode=699），贸易伙伴中国/世界（partnerCode=156/0），flowCode=M，cmdCode=284690，period=2025；访问日期 2026-07-24。</w:t>
      </w:r>
    </w:p>
    <w:p>
      <w:pPr>
        <w:spacing w:after="60"/>
      </w:pPr>
      <w:r>
        <w:rPr>
          <w:rFonts w:ascii="Microsoft YaHei" w:hAnsi="Microsoft YaHei" w:eastAsia="Microsoft YaHei"/>
          <w:b/>
          <w:color w:val="1F4D78"/>
          <w:sz w:val="18"/>
        </w:rPr>
        <w:t>〔3〕</w:t>
      </w:r>
      <w:r>
        <w:rPr>
          <w:rFonts w:ascii="Microsoft YaHei" w:hAnsi="Microsoft YaHei" w:eastAsia="Microsoft YaHei"/>
          <w:sz w:val="18"/>
        </w:rPr>
        <w:t>UN Comtrade 公共 API，报告国印度（reporterCode=699），贸易伙伴中国/世界（partnerCode=156/0），flowCode=M，cmdCode=284690，period=2025；访问日期 2026-07-24。</w:t>
      </w:r>
    </w:p>
    <w:p>
      <w:pPr>
        <w:spacing w:after="60"/>
      </w:pPr>
      <w:r>
        <w:rPr>
          <w:rFonts w:ascii="Microsoft YaHei" w:hAnsi="Microsoft YaHei" w:eastAsia="Microsoft YaHei"/>
          <w:b/>
          <w:color w:val="1F4D78"/>
          <w:sz w:val="18"/>
        </w:rPr>
        <w:t>〔4〕</w:t>
      </w:r>
      <w:r>
        <w:rPr>
          <w:rFonts w:ascii="Microsoft YaHei" w:hAnsi="Microsoft YaHei" w:eastAsia="Microsoft YaHei"/>
          <w:sz w:val="18"/>
        </w:rPr>
        <w:t>The Indian Express：《Before China’s rare earth curbs, India’s permanent magnet imports nearly doubled in FY25》，2025-06-09</w:t>
      </w:r>
    </w:p>
    <w:p>
      <w:pPr>
        <w:spacing w:after="60"/>
      </w:pPr>
      <w:r>
        <w:rPr>
          <w:rFonts w:ascii="Microsoft YaHei" w:hAnsi="Microsoft YaHei" w:eastAsia="Microsoft YaHei"/>
          <w:b/>
          <w:color w:val="1F4D78"/>
          <w:sz w:val="18"/>
        </w:rPr>
        <w:t>〔5〕</w:t>
      </w:r>
      <w:r>
        <w:rPr>
          <w:rFonts w:ascii="Microsoft YaHei" w:hAnsi="Microsoft YaHei" w:eastAsia="Microsoft YaHei"/>
          <w:sz w:val="18"/>
        </w:rPr>
        <w:t>CRISIL Ratings：《Shortage of rare earth magnet can decelerate India’s automotive ride》，2025-06-10</w:t>
      </w:r>
    </w:p>
    <w:p>
      <w:pPr>
        <w:spacing w:after="60"/>
      </w:pPr>
      <w:r>
        <w:rPr>
          <w:rFonts w:ascii="Microsoft YaHei" w:hAnsi="Microsoft YaHei" w:eastAsia="Microsoft YaHei"/>
          <w:b/>
          <w:color w:val="1F4D78"/>
          <w:sz w:val="18"/>
        </w:rPr>
        <w:t>〔6〕</w:t>
      </w:r>
      <w:r>
        <w:rPr>
          <w:rFonts w:ascii="Microsoft YaHei" w:hAnsi="Microsoft YaHei" w:eastAsia="Microsoft YaHei"/>
          <w:sz w:val="18"/>
        </w:rPr>
        <w:t>中国商务部、海关总署 2025 年 4 月稀土相关出口管制公告</w:t>
      </w:r>
    </w:p>
    <w:p>
      <w:pPr>
        <w:spacing w:after="60"/>
      </w:pPr>
      <w:r>
        <w:rPr>
          <w:rFonts w:ascii="Microsoft YaHei" w:hAnsi="Microsoft YaHei" w:eastAsia="Microsoft YaHei"/>
          <w:b/>
          <w:color w:val="1F4D78"/>
          <w:sz w:val="18"/>
        </w:rPr>
        <w:t>〔7〕</w:t>
      </w:r>
      <w:r>
        <w:rPr>
          <w:rFonts w:ascii="Microsoft YaHei" w:hAnsi="Microsoft YaHei" w:eastAsia="Microsoft YaHei"/>
          <w:sz w:val="18"/>
        </w:rPr>
        <w:t>中国商务部、海关总署 2025 年 4 月稀土相关出口管制公告</w:t>
      </w:r>
    </w:p>
    <w:p>
      <w:pPr>
        <w:spacing w:after="60"/>
      </w:pPr>
      <w:r>
        <w:rPr>
          <w:rFonts w:ascii="Microsoft YaHei" w:hAnsi="Microsoft YaHei" w:eastAsia="Microsoft YaHei"/>
          <w:b/>
          <w:color w:val="1F4D78"/>
          <w:sz w:val="18"/>
        </w:rPr>
        <w:t>〔8〕</w:t>
      </w:r>
      <w:r>
        <w:rPr>
          <w:rFonts w:ascii="Microsoft YaHei" w:hAnsi="Microsoft YaHei" w:eastAsia="Microsoft YaHei"/>
          <w:sz w:val="18"/>
        </w:rPr>
        <w:t>海关总署统计网，中国出口至印度，贸易伙伴编码 111，HS6 284690 下真实 HS8 明细，来源文件 数据导出.csv、数据导出 (1).csv、数据导出 (4).csv、数据导出 (5).csv，访问日期 2026-07-28。</w:t>
      </w:r>
    </w:p>
    <w:p>
      <w:pPr>
        <w:spacing w:after="60"/>
      </w:pPr>
      <w:r>
        <w:rPr>
          <w:rFonts w:ascii="Microsoft YaHei" w:hAnsi="Microsoft YaHei" w:eastAsia="Microsoft YaHei"/>
          <w:b/>
          <w:color w:val="1F4D78"/>
          <w:sz w:val="18"/>
        </w:rPr>
        <w:t>〔9〕</w:t>
      </w:r>
      <w:r>
        <w:rPr>
          <w:rFonts w:ascii="Microsoft YaHei" w:hAnsi="Microsoft YaHei" w:eastAsia="Microsoft YaHei"/>
          <w:sz w:val="18"/>
        </w:rPr>
        <w:t>印度新闻信息局（PIB）/印度重工业部：《Disruption in the Supply of Rare Earth Magnets》，2025-08-01</w:t>
      </w:r>
    </w:p>
    <w:p>
      <w:pPr>
        <w:spacing w:after="60"/>
      </w:pPr>
      <w:r>
        <w:rPr>
          <w:rFonts w:ascii="Microsoft YaHei" w:hAnsi="Microsoft YaHei" w:eastAsia="Microsoft YaHei"/>
          <w:b/>
          <w:color w:val="1F4D78"/>
          <w:sz w:val="18"/>
        </w:rPr>
        <w:t>〔10〕</w:t>
      </w:r>
      <w:r>
        <w:rPr>
          <w:rFonts w:ascii="Microsoft YaHei" w:hAnsi="Microsoft YaHei" w:eastAsia="Microsoft YaHei"/>
          <w:sz w:val="18"/>
        </w:rPr>
        <w:t>The Indian Express：《Before China’s rare earth curbs, India’s permanent magnet imports nearly doubled in FY25》，2025-06-09</w:t>
      </w:r>
    </w:p>
    <w:p>
      <w:pPr>
        <w:spacing w:after="60"/>
      </w:pPr>
      <w:r>
        <w:rPr>
          <w:rFonts w:ascii="Microsoft YaHei" w:hAnsi="Microsoft YaHei" w:eastAsia="Microsoft YaHei"/>
          <w:b/>
          <w:color w:val="1F4D78"/>
          <w:sz w:val="18"/>
        </w:rPr>
        <w:t>〔11〕</w:t>
      </w:r>
      <w:r>
        <w:rPr>
          <w:rFonts w:ascii="Microsoft YaHei" w:hAnsi="Microsoft YaHei" w:eastAsia="Microsoft YaHei"/>
          <w:sz w:val="18"/>
        </w:rPr>
        <w:t>CRISIL Ratings：《Shortage of rare earth magnet can decelerate India’s automotive ride》，2025-06-10</w:t>
      </w:r>
    </w:p>
    <w:p>
      <w:pPr>
        <w:spacing w:after="60"/>
      </w:pPr>
      <w:r>
        <w:rPr>
          <w:rFonts w:ascii="Microsoft YaHei" w:hAnsi="Microsoft YaHei" w:eastAsia="Microsoft YaHei"/>
          <w:b/>
          <w:color w:val="1F4D78"/>
          <w:sz w:val="18"/>
        </w:rPr>
        <w:t>〔12〕</w:t>
      </w:r>
      <w:r>
        <w:rPr>
          <w:rFonts w:ascii="Microsoft YaHei" w:hAnsi="Microsoft YaHei" w:eastAsia="Microsoft YaHei"/>
          <w:sz w:val="18"/>
        </w:rPr>
        <w:t>中国商务部、海关总署 2025 年 4 月稀土相关出口管制公告</w:t>
      </w:r>
    </w:p>
    <w:p>
      <w:pPr>
        <w:spacing w:after="60"/>
      </w:pPr>
      <w:r>
        <w:rPr>
          <w:rFonts w:ascii="Microsoft YaHei" w:hAnsi="Microsoft YaHei" w:eastAsia="Microsoft YaHei"/>
          <w:b/>
          <w:color w:val="1F4D78"/>
          <w:sz w:val="18"/>
        </w:rPr>
        <w:t>〔13〕</w:t>
      </w:r>
      <w:r>
        <w:rPr>
          <w:rFonts w:ascii="Microsoft YaHei" w:hAnsi="Microsoft YaHei" w:eastAsia="Microsoft YaHei"/>
          <w:sz w:val="18"/>
        </w:rPr>
        <w:t>UN Comtrade 公共 API，报告国印度（reporterCode=699），贸易伙伴中国/世界（partnerCode=156/0），flowCode=M，cmdCode=284690，period=2025；访问日期 2026-07-24。</w:t>
      </w:r>
    </w:p>
    <w:p>
      <w:pPr>
        <w:spacing w:after="60"/>
      </w:pPr>
      <w:r>
        <w:rPr>
          <w:rFonts w:ascii="Microsoft YaHei" w:hAnsi="Microsoft YaHei" w:eastAsia="Microsoft YaHei"/>
          <w:b/>
          <w:color w:val="1F4D78"/>
          <w:sz w:val="18"/>
        </w:rPr>
        <w:t>〔14〕</w:t>
      </w:r>
      <w:r>
        <w:rPr>
          <w:rFonts w:ascii="Microsoft YaHei" w:hAnsi="Microsoft YaHei" w:eastAsia="Microsoft YaHei"/>
          <w:sz w:val="18"/>
        </w:rPr>
        <w:t>印度 DGCI&amp;S TradeStat：月度贸易数据库与编码调整说明。</w:t>
      </w:r>
    </w:p>
    <w:p>
      <w:pPr>
        <w:spacing w:after="60"/>
      </w:pPr>
      <w:r>
        <w:rPr>
          <w:rFonts w:ascii="Microsoft YaHei" w:hAnsi="Microsoft YaHei" w:eastAsia="Microsoft YaHei"/>
          <w:b/>
          <w:color w:val="1F4D78"/>
          <w:sz w:val="18"/>
        </w:rPr>
        <w:t>〔15〕</w:t>
      </w:r>
      <w:r>
        <w:rPr>
          <w:rFonts w:ascii="Microsoft YaHei" w:hAnsi="Microsoft YaHei" w:eastAsia="Microsoft YaHei"/>
          <w:sz w:val="18"/>
        </w:rPr>
        <w:t>中国商务部、海关总署及中国出口管制信息网：现行两用物项清单、公告与许可证管理目录。</w:t>
      </w:r>
    </w:p>
    <w:p>
      <w:pPr>
        <w:spacing w:after="60"/>
      </w:pPr>
      <w:r>
        <w:rPr>
          <w:rFonts w:ascii="Microsoft YaHei" w:hAnsi="Microsoft YaHei" w:eastAsia="Microsoft YaHei"/>
          <w:b/>
          <w:color w:val="1F4D78"/>
          <w:sz w:val="18"/>
        </w:rPr>
        <w:t>〔16〕</w:t>
      </w:r>
      <w:r>
        <w:rPr>
          <w:rFonts w:ascii="Microsoft YaHei" w:hAnsi="Microsoft YaHei" w:eastAsia="Microsoft YaHei"/>
          <w:sz w:val="18"/>
        </w:rPr>
        <w:t>海关总署统计网，中国出口至印度，贸易伙伴编码 111，HS6 284690 下真实 HS8 明细，来源文件 数据导出.csv、数据导出 (1).csv、数据导出 (4).csv、数据导出 (5).csv，访问日期 2026-07-28。</w:t>
      </w:r>
    </w:p>
    <w:p>
      <w:r>
        <w:t>注：本报告用于公开来源研究和合规初筛，不构成法律意见或个案事实认定。</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666666"/>
        <w:sz w:val="18"/>
      </w:rPr>
      <w:t>其他稀土金属化合物对华进口依赖与供应风险分析报告 · 2026-07-24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color w:val="666666"/>
        <w:sz w:val="18"/>
      </w:rPr>
      <w:t>中国-印度供应链依赖图谱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