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Microsoft YaHei" w:hAnsi="Microsoft YaHei" w:eastAsia="Microsoft YaHei"/>
          <w:b/>
          <w:color w:val="000000"/>
          <w:sz w:val="44"/>
        </w:rPr>
        <w:t>机动车零部件多来源供应与路径评估</w:t>
      </w:r>
    </w:p>
    <w:p>
      <w:pPr>
        <w:spacing w:after="320"/>
      </w:pPr>
      <w:r>
        <w:rPr>
          <w:rFonts w:ascii="Microsoft YaHei" w:hAnsi="Microsoft YaHei" w:eastAsia="Microsoft YaHei"/>
          <w:b w:val="0"/>
          <w:color w:val="555555"/>
          <w:sz w:val="22"/>
        </w:rPr>
        <w:t>商品：机动车零部件 / Parts and accessories of motor vehicles · 快照 2026-07-23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304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HS2022 8位码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87080000</w:t>
            </w:r>
          </w:p>
        </w:tc>
      </w:tr>
      <w:tr>
        <w:tc>
          <w:tcPr>
            <w:tcW w:type="dxa" w:w="2304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统计口径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统计口径 HS4</w:t>
            </w:r>
          </w:p>
        </w:tc>
      </w:tr>
      <w:tr>
        <w:tc>
          <w:tcPr>
            <w:tcW w:type="dxa" w:w="2304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2025 自中国进口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1.75 十亿美元</w:t>
            </w:r>
          </w:p>
        </w:tc>
      </w:tr>
      <w:tr>
        <w:tc>
          <w:tcPr>
            <w:tcW w:type="dxa" w:w="2304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2025 全球进口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6.80 十亿美元</w:t>
            </w:r>
          </w:p>
        </w:tc>
      </w:tr>
      <w:tr>
        <w:tc>
          <w:tcPr>
            <w:tcW w:type="dxa" w:w="2304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对华来源占比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25.8%</w:t>
            </w:r>
          </w:p>
        </w:tc>
      </w:tr>
      <w:tr>
        <w:tc>
          <w:tcPr>
            <w:tcW w:type="dxa" w:w="2304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结论准确度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高概率：结论基于公开统计与审慎边界。</w:t>
            </w:r>
          </w:p>
        </w:tc>
      </w:tr>
    </w:tbl>
    <w:p/>
    <w:p>
      <w:pPr>
        <w:pStyle w:val="Heading1"/>
      </w:pPr>
      <w:r>
        <w:t>一、核心判断</w:t>
      </w:r>
    </w:p>
    <w:p>
      <w:r>
        <w:t>机动车零部件对华来源占比约四分之一，德国、日本、韩国、美国等来源共同供给；公开数据未形成可量化的第三国转口路径。</w:t>
      </w:r>
    </w:p>
    <w:p>
      <w:pPr>
        <w:pStyle w:val="Heading1"/>
      </w:pPr>
      <w:r>
        <w:t>二、数据事实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2025 年印度自中国进口 17.54 亿美元，全球进口 68.00 亿美元，对华来源占比 25.8%。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印度官方议会答复将汽车零部件列为对华进口结构中的关键中间品。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报告检索未能稳定重建中转额、港口和占比。</w:t>
      </w:r>
    </w:p>
    <w:p>
      <w:pPr>
        <w:pStyle w:val="Heading1"/>
      </w:pPr>
      <w:r>
        <w:t>三、分析</w:t>
      </w:r>
    </w:p>
    <w:p>
      <w:r>
        <w:t>总体依赖度不高，但电驱、电控和特定电子零件可能存在显著的中国成分暴露。</w:t>
      </w:r>
    </w:p>
    <w:p>
      <w:r>
        <w:t>印度本地装配与跨国车企供应体系会产生多国采购，不应将区域分工自动视为转口。</w:t>
      </w:r>
    </w:p>
    <w:p>
      <w:pPr>
        <w:pStyle w:val="Heading1"/>
      </w:pPr>
      <w:r>
        <w:t>四、第三国路径与判读边界</w:t>
      </w:r>
    </w:p>
    <w:p>
      <w:r>
        <w:t>HS 8708 覆盖电驱、底盘、车身与安全系统等大量子类，供应商国别与零件原产地必须分开判断。</w:t>
      </w:r>
    </w:p>
    <w:p>
      <w:pPr>
        <w:pStyle w:val="Heading1"/>
      </w:pPr>
      <w:r>
        <w:t>五、结论</w:t>
      </w:r>
    </w:p>
    <w:p>
      <w:r>
        <w:t>该品类的风险集中在关键子系统而非 HS4 总量。建议按车型、一级供应商和 BOM 层级开展原产地审计。</w:t>
      </w:r>
    </w:p>
    <w:p>
      <w:pPr>
        <w:pStyle w:val="Heading1"/>
      </w:pPr>
      <w:r>
        <w:t>六、后续监测重点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电驱、电控、底盘和安全系统拆分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一级供应商及 BOM 原产地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区域装配与 FTA 原产地合规</w:t>
      </w:r>
    </w:p>
    <w:p>
      <w:pPr>
        <w:pStyle w:val="Heading1"/>
      </w:pPr>
      <w:r>
        <w:t>七、来源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研究报告第 8—9 页：HS 8708 分析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印度议会答复 4023/2025</w:t>
      </w:r>
    </w:p>
    <w:p>
      <w:r>
        <w:t>注：本报告用于公开来源研究和合规初筛，不构成法律意见或个案事实认定。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/>
        <w:b w:val="0"/>
        <w:color w:val="666666"/>
        <w:sz w:val="18"/>
      </w:rPr>
      <w:t>机动车零部件多来源供应与路径评估 · 2026-07-23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icrosoft YaHei" w:hAnsi="Microsoft YaHei" w:eastAsia="Microsoft YaHei"/>
        <w:b w:val="0"/>
        <w:color w:val="666666"/>
        <w:sz w:val="18"/>
      </w:rPr>
      <w:t>中国-印度供应链依赖图谱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