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蓄电池高集中度与多节点组装路径分析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商品：蓄电池 / Electric accumulators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85070000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4.31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4.95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蓄电池是样本中对华来源占比最高的商品。越南具备最强的第三国路径上限证据，香港、印度尼西亚、日本、马来西亚和韩国为次级节点，但必须区分电芯、模组与 PACK 的实质加工。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43.13 亿美元，全球进口 49.47 亿美元，对华来源占比 87.2%。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显示越南 2024 年对印度出口电池约 1.25 亿美元，同时自中国进口电池约 49.4 亿美元。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可见样本中，中国和越南对印 shipment 份额约为 44% 和 28%；印度自香港、印尼、日本的电池进口增量亦可观察。</w:t>
      </w:r>
    </w:p>
    <w:p>
      <w:pPr>
        <w:pStyle w:val="Heading1"/>
      </w:pPr>
      <w:r>
        <w:t>三、分析</w:t>
      </w:r>
    </w:p>
    <w:p>
      <w:r>
        <w:t>87.2% 的对华来源占比意味着短期替代弹性有限，尤其在锂离子电芯、BMS 和关键材料层面可能高于 HS4 表面值。</w:t>
      </w:r>
    </w:p>
    <w:p>
      <w:r>
        <w:t>越南具备规模和产业能力的双重信号，较香港等纯贸易节点更可能发生实质加工。合规判断应审查 BOM、工序、增值比例和原产地证书。</w:t>
      </w:r>
    </w:p>
    <w:p>
      <w:pPr>
        <w:pStyle w:val="Heading1"/>
      </w:pPr>
      <w:r>
        <w:t>四、第三国路径与判读边界</w:t>
      </w:r>
    </w:p>
    <w:p>
      <w:r>
        <w:t>电池跨国贸易经常包含电芯生产、模组集成和 PACK 组装。第三国出口额只能作为中国成分暴露的上限，不等同于转口额。</w:t>
      </w:r>
    </w:p>
    <w:p>
      <w:pPr>
        <w:pStyle w:val="Heading1"/>
      </w:pPr>
      <w:r>
        <w:t>五、结论</w:t>
      </w:r>
    </w:p>
    <w:p>
      <w:r>
        <w:t>蓄电池应被列为最高优先级供应安全品类。越南是首要路径节点，但现有证据不足以认定大规模非法转口；企业应按电芯—模组—PACK 三层拆分来源。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电芯、模组、PACK 的 HS8 与料号映射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越南工厂工序与区域增值比例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香港、印尼、日本等次级来源的月度异常增量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6—7 页：HS 8507 路径证据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2024 电池双边贸易结构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HS 8507 对印 shipment 开放摘要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蓄电池高集中度与多节点组装路径分析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