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汽车起重机高集中度与镜像差异报告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商品：汽车起重机 / Mobile cranes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87051000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0.4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0.6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66.0%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汽车起重机显示最强的中国来源集中度，但印度进口与中国出口镜像金额差异异常大，必须把依赖信号与数值可信度分开判断。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年印度进口申报中，自中国约 40.01 万美元，全球约 60.61 万美元，对华来源占比 66.0%。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中国出口镜像数据显示，2023 年对印度 1.6535 亿美元、1522 件，2024 年 2.2969 亿美元、1789 件，金额同比增长 38.9%。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报告测算 2024 年中国镜像金额超过其后四个来源合计 56 倍以上，但这一规模与印度进口侧数据严重不一致。</w:t>
      </w:r>
    </w:p>
    <w:p>
      <w:pPr>
        <w:pStyle w:val="Heading1"/>
      </w:pPr>
      <w:r>
        <w:t>三、分析</w:t>
      </w:r>
    </w:p>
    <w:p>
      <w:r>
        <w:t>66.0% 的 2025 来源占比支持中国主导信号，但绝对金额很小，与上一年中国镜像统计形成断裂。</w:t>
      </w:r>
    </w:p>
    <w:p>
      <w:r>
        <w:t>优先核查是否存在单位、底盘/上装拆分、临时进口、项目设备回运或税号错分。</w:t>
      </w:r>
    </w:p>
    <w:p>
      <w:pPr>
        <w:pStyle w:val="Heading1"/>
      </w:pPr>
      <w:r>
        <w:t>四、第三国路径与判读边界</w:t>
      </w:r>
    </w:p>
    <w:p>
      <w:r>
        <w:t>在申报方向、计量单位和产品分类未对齐前，不应根据镜像差额推断第三国转口。</w:t>
      </w:r>
    </w:p>
    <w:p>
      <w:pPr>
        <w:pStyle w:val="Heading1"/>
      </w:pPr>
      <w:r>
        <w:t>五、结论</w:t>
      </w:r>
    </w:p>
    <w:p>
      <w:r>
        <w:t>中国高度重要这一方向性判断具有依据，但精确市场规模和年度变化为低概率结论；当前不能据镜像差额认定转口。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底盘与起重上装是否拆分申报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计量单位、临时进口与退运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中印镜像数据逐票对账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专题报告 HS 870510 镜像贸易表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HS 870510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WITS 中国出口与印度进口数据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汽车起重机高集中度与镜像差异报告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