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非公路用自卸车依赖与印尼路径审查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商品：非公路用自卸车 / Off-highway dump trucks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非公路用自卸车是工程车组合的金额主体。2025 年中国份额约 38.8%；2019—2024 年印度进口口径总体上升，但镜像差异很大。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2218.51 万美元，全球进口约 5723.91 万美元，对华来源占比 38.8%。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报告所列印度进口口径中，中国份额由 2019 年 14.1% 上升至 2024 年 43.3%，中间年份波动明显；2021 年 9975 件的数量异常需单独核验。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年印度自中国进口 1807.46 万美元，而中国出口镜像为 3978.38 万美元；统计方向差异超过一倍。</w:t>
      </w:r>
    </w:p>
    <w:p>
      <w:pPr>
        <w:pStyle w:val="Heading1"/>
      </w:pPr>
      <w:r>
        <w:t>三、分析</w:t>
      </w:r>
    </w:p>
    <w:p>
      <w:r>
        <w:t>2019—2024 的份额上升支持中国重要性增强，但年度订单和矿业项目会造成显著波动。</w:t>
      </w:r>
    </w:p>
    <w:p>
      <w:r>
        <w:t>印尼拥有矿业车辆需求和装配活动，既可能是终端市场，也可能是区域供货节点；公开统计无法区分。</w:t>
      </w:r>
    </w:p>
    <w:p>
      <w:pPr>
        <w:pStyle w:val="Heading1"/>
      </w:pPr>
      <w:r>
        <w:t>四、第三国路径与判读边界</w:t>
      </w:r>
    </w:p>
    <w:p>
      <w:r>
        <w:t>贸易规模重叠不等于同一车辆转口；必须通过车架号、原产地证书、提单和印尼是否发生实质加工核验。</w:t>
      </w:r>
    </w:p>
    <w:p>
      <w:pPr>
        <w:pStyle w:val="Heading1"/>
      </w:pPr>
      <w:r>
        <w:t>五、结论</w:t>
      </w:r>
    </w:p>
    <w:p>
      <w:r>
        <w:t>中国已是非公路用自卸车的重要来源，印尼是高优先级核验节点；是否存在中国原产车辆经印尼转口，仍未被公开证据证明。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车架号、品牌与制造工厂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2021 年异常数量申报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印尼进口—再出口逐票对应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专题报告 HS 870410 年度表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870410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2024 中国—印尼—印度数据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非公路用自卸车依赖与印尼路径审查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