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混凝土搅拌车低规模依赖报告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商品：混凝土搅拌车 / Concrete mixer trucks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87054000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0.2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2.1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11.2%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混凝土搅拌车进口规模很小，2025 年中国占比约 11.2%。当前公开数据不支持将其列为对华高依赖车型，也没有可量化转口链。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年印度自中国进口约 23.03 万美元，全球进口约 206.40 万美元，对华来源占比 11.2%。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2024 年印度全球进口约 39.84 万美元、15 件；中国出口镜像约 11.07 万美元、1 件。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少数车辆即可显著改变年度金额和份额，因此不宜对短期趋势作结构性解释。</w:t>
      </w:r>
    </w:p>
    <w:p>
      <w:pPr>
        <w:pStyle w:val="Heading1"/>
      </w:pPr>
      <w:r>
        <w:t>三、分析</w:t>
      </w:r>
    </w:p>
    <w:p>
      <w:r>
        <w:t>低金额与低频交付意味着供应风险更取决于具体品牌、底盘和售后，而非总体贸易份额。</w:t>
      </w:r>
    </w:p>
    <w:p>
      <w:r>
        <w:t>若业务采购集中于少数中国品牌，企业级依赖仍可能高于全国统计值。</w:t>
      </w:r>
    </w:p>
    <w:p>
      <w:pPr>
        <w:pStyle w:val="Heading1"/>
      </w:pPr>
      <w:r>
        <w:t>四、第三国路径与判读边界</w:t>
      </w:r>
    </w:p>
    <w:p>
      <w:r>
        <w:t>没有形成中国—第三国—印度的金额、时间和货物闭环；不列示猜测性中转国。</w:t>
      </w:r>
    </w:p>
    <w:p>
      <w:pPr>
        <w:pStyle w:val="Heading1"/>
      </w:pPr>
      <w:r>
        <w:t>五、结论</w:t>
      </w:r>
    </w:p>
    <w:p>
      <w:r>
        <w:t>全国贸易口径下，中国不是混凝土搅拌车的主导来源；结论可用于总体筛查，但企业采购依赖仍需订单数据验证。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品牌、底盘和搅拌上装来源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企业采购订单与售后网络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单车价格和数量单位异常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专题报告 HS 870540 数据表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HS 870540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WITS 2024 双边贸易数据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混凝土搅拌车低规模依赖报告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