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天然石墨统计口径与出口管制风险分析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商品：天然石墨 / Natural graphite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25040000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3.8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41.1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9.2%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天然石墨对华直接进口金额与占比均不高，但公开资料在“出口是否停止”上存在口径冲突；核心问题是 HS4、HS8 与受控参数是否一致，而不是已证实的绕路补货。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年印度自中国进口约 378 万美元，全球进口约 4110 万美元，对华来源占比 9.2%。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基于 UN Comtrade 的公开页面显示，2024 年印度自中国进口约 448 万美元，2025 年约 378 万美元。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另有研究摘要称管制后相关出口停止，可能仅覆盖天然鳞片石墨或特定参数物项，与 HS 2504 全口径不一致。</w:t>
      </w:r>
    </w:p>
    <w:p>
      <w:pPr>
        <w:pStyle w:val="Heading1"/>
      </w:pPr>
      <w:r>
        <w:t>三、分析</w:t>
      </w:r>
    </w:p>
    <w:p>
      <w:r>
        <w:t>金额较小不等于风险较低；受控范围取决于纯度、粒径、形态、密度和用途。</w:t>
      </w:r>
    </w:p>
    <w:p>
      <w:r>
        <w:t>互相冲突的公开数据提示：宽税号与受控物项并非同一分析对象，不能用一个口径替代另一个口径。</w:t>
      </w:r>
    </w:p>
    <w:p>
      <w:pPr>
        <w:pStyle w:val="Heading1"/>
      </w:pPr>
      <w:r>
        <w:t>四、第三国路径与判读边界</w:t>
      </w:r>
    </w:p>
    <w:p>
      <w:r>
        <w:t>报告未发现足以证明经第三国补货的公开序列。任何多国路径判断均需以 HS8、控制编码和企业发票为基础。</w:t>
      </w:r>
    </w:p>
    <w:p>
      <w:pPr>
        <w:pStyle w:val="Heading1"/>
      </w:pPr>
      <w:r>
        <w:t>五、结论</w:t>
      </w:r>
    </w:p>
    <w:p>
      <w:r>
        <w:t>天然石墨应判定为“贸易依赖低、定义风险高、转口证据不足”。优先建立受控参数与印度进口子目的精确映射。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与控制编码对应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纯度、粒径、形态及最终用途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企业级发票、许可证与最终用户文件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研究报告第 9—10 页：HS 2504 分析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2024—2025 公开统计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中国两用物项出口管制目录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天然石墨统计口径与出口管制风险分析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