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聚酯与工程塑料来源结构分析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商品：聚酯与工程塑料 / Polyacetals, polyethers and polyesters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39070000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911.3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2.70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印度对华依赖处于中等水平，公开资料可见多来源供应，但没有足够数据识别中国经第三国进入印度的金额、港口和占比。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9.11 亿美元，全球进口 27.02 亿美元，对华来源占比 33.7%。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公开来源未形成可复核的“中国—第三国—印度”同口径金额链。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网站默认两段同步增长筛查未触发路径信号。</w:t>
      </w:r>
    </w:p>
    <w:p>
      <w:pPr>
        <w:pStyle w:val="Heading1"/>
      </w:pPr>
      <w:r>
        <w:t>三、分析</w:t>
      </w:r>
    </w:p>
    <w:p>
      <w:r>
        <w:t>33.7% 的来源占比低于医药中间体，但汽车、电子和包装用途对具体牌号认证可能形成更高的实际黏性。</w:t>
      </w:r>
    </w:p>
    <w:p>
      <w:r>
        <w:t>替代评估应同时比较树脂体系、认证周期、加工性能和长期供货能力。</w:t>
      </w:r>
    </w:p>
    <w:p>
      <w:pPr>
        <w:pStyle w:val="Heading1"/>
      </w:pPr>
      <w:r>
        <w:t>四、第三国路径与判读边界</w:t>
      </w:r>
    </w:p>
    <w:p>
      <w:r>
        <w:t>工程塑料可能经历改性、配混和制粒等实质加工；在牌号和工艺未知时，不能把第三国出口直接归为转口。</w:t>
      </w:r>
    </w:p>
    <w:p>
      <w:pPr>
        <w:pStyle w:val="Heading1"/>
      </w:pPr>
      <w:r>
        <w:t>五、结论</w:t>
      </w:r>
    </w:p>
    <w:p>
      <w:r>
        <w:t>总体依赖度中等，当前不宜对中转国排序。供应安全重点应放在牌号级替代和终端认证，而非宽口径贸易流猜测。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树脂牌号与改性工序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汽车/电子客户认证周期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HS6/8 月度来源异常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8 页：医药化工品类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HS4 依赖矩阵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聚酯与工程塑料来源结构分析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