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稀土化合物供应替代与出口管制分析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商品：稀土化合物 / Compounds of rare-earth metals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HS2022 8位码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28460000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4.9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12.9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37.9%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稀土化合物的直接贸易金额较小，但中国在印度来源结构中长期居首，且部分 284690 子目已纳入出口管制；公开数据未证明经贸易中枢大规模转口。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年印度自中国进口约 491 万美元，全球进口约 1294 万美元，对华来源占比 37.9%。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印度官方数量表显示，HS 2846 总进口量由 2019—20 年度 1375 吨降至 2023—24 年度 1086 吨。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中国在 2020—21 至 2023—24 年连续保持主要来源国；日本、韩国、俄罗斯、奥地利、美国等为可观察替代来源。</w:t>
      </w:r>
    </w:p>
    <w:p>
      <w:pPr>
        <w:pStyle w:val="Heading1"/>
      </w:pPr>
      <w:r>
        <w:t>三、分析</w:t>
      </w:r>
    </w:p>
    <w:p>
      <w:r>
        <w:t>政策敏感度远高于金额本身。部分钐、钆、铽、镝、镥、钪、钇相关物项须依法申请出口许可。</w:t>
      </w:r>
    </w:p>
    <w:p>
      <w:r>
        <w:t>通过第三国采购不当然绕开中国规则，也不当然意味着违法；关键是原产、加工和再出口义务。</w:t>
      </w:r>
    </w:p>
    <w:p>
      <w:pPr>
        <w:pStyle w:val="Heading1"/>
      </w:pPr>
      <w:r>
        <w:t>四、第三国路径与判读边界</w:t>
      </w:r>
    </w:p>
    <w:p>
      <w:r>
        <w:t>两条路径均是风险网络而非转口事实。对于受控物项，技术参数、最终用户和最终用途优先于 HS4 与发票国。</w:t>
      </w:r>
    </w:p>
    <w:p>
      <w:pPr>
        <w:pStyle w:val="Heading1"/>
      </w:pPr>
      <w:r>
        <w:t>五、结论</w:t>
      </w:r>
    </w:p>
    <w:p>
      <w:r>
        <w:t>稀土化合物的首要风险是管制与许可不确定性，而非已被公开统计识别的转口。采购审计应前移至元素、化合物形态和最终用途。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284690 子目与控制参数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日本、韩国等来源的前序原产地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许可证、最终用户与最终用途声明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研究报告第 9—10 页：HS 2846 分析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PIB 议会答复数量表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 2025 年 4 月公告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稀土化合物供应替代与出口管制分析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