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半导体器件区域加工与再出口上限分析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商品：半导体器件 / Semiconductor devices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85410000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3.99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6.10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65.4%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印度对华半导体器件依赖显著，越南和马来西亚是最值得监测的第三国节点，泰国、台湾地区、日本、韩国和香港构成次级网络；现有数据只能给出区域加工再出口的上限。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39.88 亿美元，全球进口 61.02 亿美元，对华来源占比 65.4%。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数据显示，印度自中国、越南、泰国进口约 43.6 亿、5.61 亿和 1.72 亿美元。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可见样本中，越南、马来西亚、日本、台湾地区、泰国和韩国份额约为 12%、8%、7%、6%、4% 和 4%。</w:t>
      </w:r>
    </w:p>
    <w:p>
      <w:pPr>
        <w:pStyle w:val="Heading1"/>
      </w:pPr>
      <w:r>
        <w:t>三、分析</w:t>
      </w:r>
    </w:p>
    <w:p>
      <w:r>
        <w:t>HS 8541 包含二极管、晶体管、光伏电池等差异显著的子类，聚合分析只能反映总体暴露。</w:t>
      </w:r>
    </w:p>
    <w:p>
      <w:r>
        <w:t>与集成电路相比，该品类的制造和组装外溢更明显，因此应把工序与原产地证明放在金额筛查之前。</w:t>
      </w:r>
    </w:p>
    <w:p>
      <w:pPr>
        <w:pStyle w:val="Heading1"/>
      </w:pPr>
      <w:r>
        <w:t>四、第三国路径与判读边界</w:t>
      </w:r>
    </w:p>
    <w:p>
      <w:r>
        <w:t>第三国进口规模不等于其中全部含中国原产成分。多节点序列用于表达供应链可能跨越两至三个经济体，不代表事实认定。</w:t>
      </w:r>
    </w:p>
    <w:p>
      <w:pPr>
        <w:pStyle w:val="Heading1"/>
      </w:pPr>
      <w:r>
        <w:t>五、结论</w:t>
      </w:r>
    </w:p>
    <w:p>
      <w:r>
        <w:t>半导体器件属于“直接依赖高、区域加工网络存在上限证据”的品类。越南优先级最高，马来西亚次之；其余节点应作为辅助核验对象。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光伏器件与分立器件分项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越南、马来西亚的实质加工工序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河内、海防、胡志明及东南亚港口的提单链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6—7 页：HS 8541 路径分析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Semiconductor Devices 来源结构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HS 8541 shipment/port 开放摘要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半导体器件区域加工与再出口上限分析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