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变压器与电源设备直接依赖分析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商品：变压器与电源设备 / Transformers and static converters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2.58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4.09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63.1%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该品类对华来源占比较高，但公开数据主要显示中国直供继续强化，尚不足以对新加坡、阿联酋或其他贸易中枢建立可量化的转口链条。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25.80 亿美元，全球进口 40.88 亿美元，对华来源占比 63.1%。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显示 2023—2024 年中国是印度该类进口增长最快的来源，增量约 4.06 亿美元。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公开来源未提供可稳定重建“中国—第三国—印度”金额链条或口岸链条的数据。</w:t>
      </w:r>
    </w:p>
    <w:p>
      <w:pPr>
        <w:pStyle w:val="Heading1"/>
      </w:pPr>
      <w:r>
        <w:t>三、分析</w:t>
      </w:r>
    </w:p>
    <w:p>
      <w:r>
        <w:t>变压器、静态变流器和电感器用途差异较大，HS4 汇总值容易掩盖子项差异。</w:t>
      </w:r>
    </w:p>
    <w:p>
      <w:r>
        <w:t>现阶段风险主要来自中国供货能力和价格竞争力，而不是已被统计识别的第三国分流。</w:t>
      </w:r>
    </w:p>
    <w:p>
      <w:pPr>
        <w:pStyle w:val="Heading1"/>
      </w:pPr>
      <w:r>
        <w:t>四、第三国路径与判读边界</w:t>
      </w:r>
    </w:p>
    <w:p>
      <w:r>
        <w:t>没有量化路径不代表不存在中转；仅表示当前公开来源无法达到金额、时间和产品口径三项一致的证据标准。</w:t>
      </w:r>
    </w:p>
    <w:p>
      <w:pPr>
        <w:pStyle w:val="Heading1"/>
      </w:pPr>
      <w:r>
        <w:t>五、结论</w:t>
      </w:r>
    </w:p>
    <w:p>
      <w:r>
        <w:t>该品类应判定为“直接依赖高、转口证据低”。优先工作是建立 HS6/8 子项与关键设备 BOM 的映射，而非对中转国作确定性排序。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静态变流器与电力变压器分项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中国来源月度增量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新加坡、阿联酋等枢纽的异常重开票与仓储分拨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6—8 页：HS 8504 分析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2024 Electrical Transformers 来源结构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变压器与电源设备直接依赖分析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