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Microsoft YaHei" w:hAnsi="Microsoft YaHei" w:eastAsia="Microsoft YaHei"/>
          <w:b/>
          <w:color w:val="000000"/>
          <w:sz w:val="44"/>
        </w:rPr>
        <w:t>印度盾构机项目依赖与转口链审查</w:t>
      </w:r>
    </w:p>
    <w:p>
      <w:pPr>
        <w:spacing w:after="320"/>
      </w:pPr>
      <w:r>
        <w:rPr>
          <w:rFonts w:ascii="Microsoft YaHei" w:hAnsi="Microsoft YaHei" w:eastAsia="Microsoft YaHei"/>
          <w:b w:val="0"/>
          <w:color w:val="555555"/>
          <w:sz w:val="22"/>
        </w:rPr>
        <w:t>商品：盾构机 / Tunnel boring machines · 快照 2026-07-23</w:t>
      </w:r>
    </w:p>
    <w:tbl>
      <w:tblPr>
        <w:tblStyle w:val="TableGrid"/>
        <w:tblW w:type="auto" w:w="0"/>
        <w:jc w:val="left"/>
        <w:tblLayout w:type="fixed"/>
        <w:tblLook w:firstColumn="1" w:firstRow="1" w:lastColumn="0" w:lastRow="0" w:noHBand="0" w:noVBand="1" w:val="04A0"/>
      </w:tblPr>
      <w:tblGrid>
        <w:gridCol w:w="4680"/>
        <w:gridCol w:w="4680"/>
      </w:tblGrid>
      <w:tr>
        <w:tc>
          <w:tcPr>
            <w:tcW w:type="dxa" w:w="2304"/>
            <w:shd w:fill="F2F4F7"/>
            <w:vAlign w:val="center"/>
          </w:tcPr>
          <w:p>
            <w:pPr>
              <w:spacing w:after="0"/>
            </w:pPr>
            <w:r/>
            <w:r>
              <w:rPr>
                <w:rFonts w:ascii="Microsoft YaHei" w:hAnsi="Microsoft YaHei" w:eastAsia="Microsoft YaHei"/>
                <w:b/>
                <w:color w:val="1F4D78"/>
                <w:sz w:val="19"/>
              </w:rPr>
              <w:t>HS2022 8位码</w:t>
            </w:r>
          </w:p>
        </w:tc>
        <w:tc>
          <w:tcPr>
            <w:tcW w:type="dxa" w:w="6912"/>
            <w:vAlign w:val="center"/>
          </w:tcPr>
          <w:p>
            <w:pPr>
              <w:spacing w:after="0"/>
            </w:pPr>
            <w:r/>
            <w:r>
              <w:rPr>
                <w:rFonts w:ascii="Microsoft YaHei" w:hAnsi="Microsoft YaHei" w:eastAsia="Microsoft YaHei"/>
                <w:b w:val="0"/>
                <w:color w:val="000000"/>
                <w:sz w:val="19"/>
              </w:rPr>
              <w:t>84303100/84303900</w:t>
            </w:r>
          </w:p>
        </w:tc>
      </w:tr>
      <w:tr>
        <w:tc>
          <w:tcPr>
            <w:tcW w:type="dxa" w:w="2304"/>
            <w:shd w:fill="F2F4F7"/>
            <w:vAlign w:val="center"/>
          </w:tcPr>
          <w:p>
            <w:pPr>
              <w:spacing w:after="0"/>
            </w:pPr>
            <w:r/>
            <w:r>
              <w:rPr>
                <w:rFonts w:ascii="Microsoft YaHei" w:hAnsi="Microsoft YaHei" w:eastAsia="Microsoft YaHei"/>
                <w:b/>
                <w:color w:val="1F4D78"/>
                <w:sz w:val="19"/>
              </w:rPr>
              <w:t>统计口径</w:t>
            </w:r>
          </w:p>
        </w:tc>
        <w:tc>
          <w:tcPr>
            <w:tcW w:type="dxa" w:w="6912"/>
            <w:vAlign w:val="center"/>
          </w:tcPr>
          <w:p>
            <w:pPr>
              <w:spacing w:after="0"/>
            </w:pPr>
            <w:r/>
            <w:r>
              <w:rPr>
                <w:rFonts w:ascii="Microsoft YaHei" w:hAnsi="Microsoft YaHei" w:eastAsia="Microsoft YaHei"/>
                <w:b w:val="0"/>
                <w:color w:val="000000"/>
                <w:sz w:val="19"/>
              </w:rPr>
              <w:t>统计口径 HS6 合并</w:t>
            </w:r>
          </w:p>
        </w:tc>
      </w:tr>
      <w:tr>
        <w:tc>
          <w:tcPr>
            <w:tcW w:type="dxa" w:w="2304"/>
            <w:shd w:fill="F2F4F7"/>
            <w:vAlign w:val="center"/>
          </w:tcPr>
          <w:p>
            <w:pPr>
              <w:spacing w:after="0"/>
            </w:pPr>
            <w:r/>
            <w:r>
              <w:rPr>
                <w:rFonts w:ascii="Microsoft YaHei" w:hAnsi="Microsoft YaHei" w:eastAsia="Microsoft YaHei"/>
                <w:b/>
                <w:color w:val="1F4D78"/>
                <w:sz w:val="19"/>
              </w:rPr>
              <w:t>2025 自中国进口</w:t>
            </w:r>
          </w:p>
        </w:tc>
        <w:tc>
          <w:tcPr>
            <w:tcW w:type="dxa" w:w="6912"/>
            <w:vAlign w:val="center"/>
          </w:tcPr>
          <w:p>
            <w:pPr>
              <w:spacing w:after="0"/>
            </w:pPr>
            <w:r/>
            <w:r>
              <w:rPr>
                <w:rFonts w:ascii="Microsoft YaHei" w:hAnsi="Microsoft YaHei" w:eastAsia="Microsoft YaHei"/>
                <w:b w:val="0"/>
                <w:color w:val="000000"/>
                <w:sz w:val="19"/>
              </w:rPr>
              <w:t>42.5 百万美元</w:t>
            </w:r>
          </w:p>
        </w:tc>
      </w:tr>
      <w:tr>
        <w:tc>
          <w:tcPr>
            <w:tcW w:type="dxa" w:w="2304"/>
            <w:shd w:fill="F2F4F7"/>
            <w:vAlign w:val="center"/>
          </w:tcPr>
          <w:p>
            <w:pPr>
              <w:spacing w:after="0"/>
            </w:pPr>
            <w:r/>
            <w:r>
              <w:rPr>
                <w:rFonts w:ascii="Microsoft YaHei" w:hAnsi="Microsoft YaHei" w:eastAsia="Microsoft YaHei"/>
                <w:b/>
                <w:color w:val="1F4D78"/>
                <w:sz w:val="19"/>
              </w:rPr>
              <w:t>2025 全球进口</w:t>
            </w:r>
          </w:p>
        </w:tc>
        <w:tc>
          <w:tcPr>
            <w:tcW w:type="dxa" w:w="6912"/>
            <w:vAlign w:val="center"/>
          </w:tcPr>
          <w:p>
            <w:pPr>
              <w:spacing w:after="0"/>
            </w:pPr>
            <w:r/>
            <w:r>
              <w:rPr>
                <w:rFonts w:ascii="Microsoft YaHei" w:hAnsi="Microsoft YaHei" w:eastAsia="Microsoft YaHei"/>
                <w:b w:val="0"/>
                <w:color w:val="000000"/>
                <w:sz w:val="19"/>
              </w:rPr>
              <w:t>108.4 百万美元</w:t>
            </w:r>
          </w:p>
        </w:tc>
      </w:tr>
      <w:tr>
        <w:tc>
          <w:tcPr>
            <w:tcW w:type="dxa" w:w="2304"/>
            <w:shd w:fill="F2F4F7"/>
            <w:vAlign w:val="center"/>
          </w:tcPr>
          <w:p>
            <w:pPr>
              <w:spacing w:after="0"/>
            </w:pPr>
            <w:r/>
            <w:r>
              <w:rPr>
                <w:rFonts w:ascii="Microsoft YaHei" w:hAnsi="Microsoft YaHei" w:eastAsia="Microsoft YaHei"/>
                <w:b/>
                <w:color w:val="1F4D78"/>
                <w:sz w:val="19"/>
              </w:rPr>
              <w:t>对华来源占比</w:t>
            </w:r>
          </w:p>
        </w:tc>
        <w:tc>
          <w:tcPr>
            <w:tcW w:type="dxa" w:w="6912"/>
            <w:vAlign w:val="center"/>
          </w:tcPr>
          <w:p>
            <w:pPr>
              <w:spacing w:after="0"/>
            </w:pPr>
            <w:r/>
            <w:r>
              <w:rPr>
                <w:rFonts w:ascii="Microsoft YaHei" w:hAnsi="Microsoft YaHei" w:eastAsia="Microsoft YaHei"/>
                <w:b w:val="0"/>
                <w:color w:val="000000"/>
                <w:sz w:val="19"/>
              </w:rPr>
              <w:t>39.2%</w:t>
            </w:r>
          </w:p>
        </w:tc>
      </w:tr>
      <w:tr>
        <w:tc>
          <w:tcPr>
            <w:tcW w:type="dxa" w:w="2304"/>
            <w:shd w:fill="F2F4F7"/>
            <w:vAlign w:val="center"/>
          </w:tcPr>
          <w:p>
            <w:pPr>
              <w:spacing w:after="0"/>
            </w:pPr>
            <w:r/>
            <w:r>
              <w:rPr>
                <w:rFonts w:ascii="Microsoft YaHei" w:hAnsi="Microsoft YaHei" w:eastAsia="Microsoft YaHei"/>
                <w:b/>
                <w:color w:val="1F4D78"/>
                <w:sz w:val="19"/>
              </w:rPr>
              <w:t>结论准确度</w:t>
            </w:r>
          </w:p>
        </w:tc>
        <w:tc>
          <w:tcPr>
            <w:tcW w:type="dxa" w:w="6912"/>
            <w:vAlign w:val="center"/>
          </w:tcPr>
          <w:p>
            <w:pPr>
              <w:spacing w:after="0"/>
            </w:pPr>
            <w:r/>
            <w:r>
              <w:rPr>
                <w:rFonts w:ascii="Microsoft YaHei" w:hAnsi="Microsoft YaHei" w:eastAsia="Microsoft YaHei"/>
                <w:b w:val="0"/>
                <w:color w:val="000000"/>
                <w:sz w:val="19"/>
              </w:rPr>
              <w:t>高概率：结论基于公开统计与审慎边界。</w:t>
            </w:r>
          </w:p>
        </w:tc>
      </w:tr>
    </w:tbl>
    <w:p/>
    <w:p>
      <w:pPr>
        <w:pStyle w:val="Heading1"/>
      </w:pPr>
      <w:r>
        <w:t>一、核心判断</w:t>
      </w:r>
    </w:p>
    <w:p>
      <w:r>
        <w:t>公开项目证据可以确认中国厂商向印度重大隧道工程直接交付盾构机，但 HS 843031/843039 不是盾构机专属税号。2025 年合并筛查池的对华来源占比为 39.2%，只能用于观察来源暴露，不能当作盾构机成交额或台数。</w:t>
      </w:r>
    </w:p>
    <w:p>
      <w:pPr>
        <w:pStyle w:val="Heading1"/>
      </w:pPr>
      <w:r>
        <w:t>二、数据事实</w:t>
      </w:r>
    </w:p>
    <w:p>
      <w:pPr>
        <w:pStyle w:val="ListBullet"/>
        <w:spacing w:after="80"/>
      </w:pPr>
      <w:r>
        <w:rPr>
          <w:rFonts w:ascii="Microsoft YaHei" w:hAnsi="Microsoft YaHei" w:eastAsia="Microsoft YaHei"/>
          <w:sz w:val="21"/>
        </w:rPr>
        <w:t>2025 年 HS 843031 与 843039 合并口径下，印度自中国进口约 4248.84 万美元，全球进口约 1.0841 亿美元，对华来源占比 39.2%。</w:t>
      </w:r>
    </w:p>
    <w:p>
      <w:pPr>
        <w:pStyle w:val="ListBullet"/>
        <w:spacing w:after="80"/>
      </w:pPr>
      <w:r>
        <w:rPr>
          <w:rFonts w:ascii="Microsoft YaHei" w:hAnsi="Microsoft YaHei" w:eastAsia="Microsoft YaHei"/>
          <w:sz w:val="21"/>
        </w:rPr>
        <w:t>报告整理的 2024 年印度进口数据显示：HS 843031 自中国进口 654.49 万美元、43 件；HS 843039 自中国进口 14.89 万美元、558 件，后者的低价值与高件数说明其作为盾构机代理的杂质很高。</w:t>
      </w:r>
    </w:p>
    <w:p>
      <w:pPr>
        <w:pStyle w:val="ListBullet"/>
        <w:spacing w:after="80"/>
      </w:pPr>
      <w:r>
        <w:rPr>
          <w:rFonts w:ascii="Microsoft YaHei" w:hAnsi="Microsoft YaHei" w:eastAsia="Microsoft YaHei"/>
          <w:sz w:val="21"/>
        </w:rPr>
        <w:t>中国铁建重工官方项目资料显示，至少有 5 台泥水平衡盾构机用于孟买沿海公路和班加罗尔两个项目；孟买设备于 2020 年 3 月从上海直接发往孟买。</w:t>
      </w:r>
    </w:p>
    <w:p>
      <w:pPr>
        <w:pStyle w:val="Heading1"/>
      </w:pPr>
      <w:r>
        <w:t>三、分析</w:t>
      </w:r>
    </w:p>
    <w:p>
      <w:r>
        <w:t>盾构机是低频、大额、按项目定制的资本品，年度贸易值极易被少数合同左右。项目合同、设备序列号、制造商交付记录比宽税号占比更能说明真实依赖。</w:t>
      </w:r>
    </w:p>
    <w:p>
      <w:r>
        <w:t>印度对中国的依赖主要体现在大直径泥水平衡盾构机的制造、交付、备件与现场服务能力。芬兰、欧洲、美国等来源可构成替代，但工法适配、直径、地质条件和服务体系决定了替代并非同质。</w:t>
      </w:r>
    </w:p>
    <w:p>
      <w:pPr>
        <w:pStyle w:val="Heading1"/>
      </w:pPr>
      <w:r>
        <w:t>四、第三国路径与判读边界</w:t>
      </w:r>
    </w:p>
    <w:p>
      <w:r>
        <w:t>报告没有取得任何 A 级“同一货物由中国出口、第三国再出口、最终进入印度项目”的闭环单证。新加坡路径只能视为贸易重叠线索；已知孟买项目反而有直接运输证据。</w:t>
      </w:r>
    </w:p>
    <w:p>
      <w:pPr>
        <w:pStyle w:val="Heading1"/>
      </w:pPr>
      <w:r>
        <w:t>五、结论</w:t>
      </w:r>
    </w:p>
    <w:p>
      <w:r>
        <w:t>高可信结论是中国厂商已形成对印度重大隧道项目的直接供货能力；39.2% 仅代表两个 HS6 筛查池的来源占比。第三国转口尚未证实，新加坡只应列入后续单证核验名单。</w:t>
      </w:r>
    </w:p>
    <w:p>
      <w:pPr>
        <w:pStyle w:val="Heading1"/>
      </w:pPr>
      <w:r>
        <w:t>六、后续监测重点</w:t>
      </w:r>
    </w:p>
    <w:p>
      <w:pPr>
        <w:pStyle w:val="ListBullet"/>
        <w:spacing w:after="80"/>
      </w:pPr>
      <w:r>
        <w:rPr>
          <w:rFonts w:ascii="Microsoft YaHei" w:hAnsi="Microsoft YaHei" w:eastAsia="Microsoft YaHei"/>
          <w:sz w:val="21"/>
        </w:rPr>
        <w:t>项目合同、设备序列号与制造商交付记录</w:t>
      </w:r>
    </w:p>
    <w:p>
      <w:pPr>
        <w:pStyle w:val="ListBullet"/>
        <w:spacing w:after="80"/>
      </w:pPr>
      <w:r>
        <w:rPr>
          <w:rFonts w:ascii="Microsoft YaHei" w:hAnsi="Microsoft YaHei" w:eastAsia="Microsoft YaHei"/>
          <w:sz w:val="21"/>
        </w:rPr>
        <w:t>盾构直径、工法、地质适配及备件服务</w:t>
      </w:r>
    </w:p>
    <w:p>
      <w:pPr>
        <w:pStyle w:val="ListBullet"/>
        <w:spacing w:after="80"/>
      </w:pPr>
      <w:r>
        <w:rPr>
          <w:rFonts w:ascii="Microsoft YaHei" w:hAnsi="Microsoft YaHei" w:eastAsia="Microsoft YaHei"/>
          <w:sz w:val="21"/>
        </w:rPr>
        <w:t>新加坡贸易商的原产地证书、提单与再出口申报</w:t>
      </w:r>
    </w:p>
    <w:p>
      <w:pPr>
        <w:pStyle w:val="Heading1"/>
      </w:pPr>
      <w:r>
        <w:t>七、来源</w:t>
      </w:r>
    </w:p>
    <w:p>
      <w:pPr>
        <w:pStyle w:val="ListBullet"/>
        <w:spacing w:after="80"/>
      </w:pPr>
      <w:r>
        <w:rPr>
          <w:rFonts w:ascii="Microsoft YaHei" w:hAnsi="Microsoft YaHei" w:eastAsia="Microsoft YaHei"/>
          <w:sz w:val="21"/>
        </w:rPr>
        <w:t>《印度对中国盾构机与工程车依赖及转口链审查》</w:t>
      </w:r>
    </w:p>
    <w:p>
      <w:pPr>
        <w:pStyle w:val="ListBullet"/>
        <w:spacing w:after="80"/>
      </w:pPr>
      <w:r>
        <w:rPr>
          <w:rFonts w:ascii="Microsoft YaHei" w:hAnsi="Microsoft YaHei" w:eastAsia="Microsoft YaHei"/>
          <w:sz w:val="21"/>
        </w:rPr>
        <w:t>UN Comtrade / WITS：HS 843031、843039</w:t>
      </w:r>
    </w:p>
    <w:p>
      <w:pPr>
        <w:pStyle w:val="ListBullet"/>
        <w:spacing w:after="80"/>
      </w:pPr>
      <w:r>
        <w:rPr>
          <w:rFonts w:ascii="Microsoft YaHei" w:hAnsi="Microsoft YaHei" w:eastAsia="Microsoft YaHei"/>
          <w:sz w:val="21"/>
        </w:rPr>
        <w:t>中国国资委：中国铁建重工孟买沿海公路盾构机项目资料</w:t>
      </w:r>
    </w:p>
    <w:p>
      <w:r>
        <w:t>注：本报告用于公开来源研究和合规初筛，不构成法律意见或个案事实认定。</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b w:val="0"/>
        <w:color w:val="666666"/>
        <w:sz w:val="18"/>
      </w:rPr>
      <w:t>印度盾构机项目依赖与转口链审查 · 2026-07-23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b w:val="0"/>
        <w:color w:val="666666"/>
        <w:sz w:val="18"/>
      </w:rPr>
      <w:t>中国-印度供应链依赖图谱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