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HS 843039 其他掘进设备筛查报告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商品：其他掘进设备筛查池 / Other tunnelling machinery screening pool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84303900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1.9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5.5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34.6%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该税号对盾构机的指向性较弱。2025 年中国占比约 34.6%，但 2024 年出现低金额、高件数组合，说明大量申报很可能不是完整盾构机。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年印度自中国进口约 189.19 万美元，全球进口约 546.43 万美元，对华来源占比 34.6%。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2024 年中国金额仅 14.89 万美元却申报 558 件，无法按完整盾构机理解。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2024 年印度自新加坡进口约 37.4 万美元、11 件；新加坡全球出口约 346.8 万美元，但缺少中国原产入口闭环。</w:t>
      </w:r>
    </w:p>
    <w:p>
      <w:pPr>
        <w:pStyle w:val="Heading1"/>
      </w:pPr>
      <w:r>
        <w:t>三、分析</w:t>
      </w:r>
    </w:p>
    <w:p>
      <w:r>
        <w:t>该税号更适合发现异常申报和项目交付时间，而不适合测量整机依赖。</w:t>
      </w:r>
    </w:p>
    <w:p>
      <w:r>
        <w:t>若业务数据能提供型号和净重，可先排除配件、小型截岩设备及非自推进装置。</w:t>
      </w:r>
    </w:p>
    <w:p>
      <w:pPr>
        <w:pStyle w:val="Heading1"/>
      </w:pPr>
      <w:r>
        <w:t>四、第三国路径与判读边界</w:t>
      </w:r>
    </w:p>
    <w:p>
      <w:r>
        <w:t>数量、单价和货物定义均不足，不能由该税号推断盾构机台数或转口比例。</w:t>
      </w:r>
    </w:p>
    <w:p>
      <w:pPr>
        <w:pStyle w:val="Heading1"/>
      </w:pPr>
      <w:r>
        <w:t>五、结论</w:t>
      </w:r>
    </w:p>
    <w:p>
      <w:r>
        <w:t>目前只能推测其中存在少量盾构相关设备；中国依赖程度和新加坡路径均需业务数据验证。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单价、净重与设备型号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完整整机/部件申报区分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新加坡进口来源与再出口提单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专题报告 HS 843039 附表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HS 843039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WITS 2024 双边贸易数据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HS 843039 其他掘进设备筛查报告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